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ascii="宋体" w:hAnsi="宋体"/>
          <w:b/>
          <w:bCs/>
          <w:sz w:val="32"/>
          <w:szCs w:val="32"/>
        </w:rPr>
      </w:pPr>
      <w:r>
        <w:rPr>
          <w:rFonts w:hint="eastAsia" w:ascii="宋体" w:hAnsi="宋体"/>
          <w:b/>
          <w:bCs/>
          <w:sz w:val="32"/>
          <w:szCs w:val="32"/>
        </w:rPr>
        <w:t>国际工商管理学院学生</w:t>
      </w:r>
      <w:r>
        <w:rPr>
          <w:rFonts w:hint="eastAsia" w:ascii="宋体" w:hAnsi="宋体"/>
          <w:b/>
          <w:bCs/>
          <w:sz w:val="30"/>
          <w:szCs w:val="30"/>
        </w:rPr>
        <w:t>国际交流经历评分规则</w:t>
      </w:r>
    </w:p>
    <w:p>
      <w:pPr>
        <w:spacing w:line="360" w:lineRule="auto"/>
        <w:ind w:firstLine="562" w:firstLineChars="200"/>
        <w:jc w:val="center"/>
        <w:rPr>
          <w:rFonts w:ascii="宋体" w:hAnsi="宋体"/>
          <w:b/>
          <w:bCs/>
          <w:sz w:val="28"/>
          <w:szCs w:val="28"/>
        </w:rPr>
      </w:pPr>
    </w:p>
    <w:p>
      <w:pPr>
        <w:spacing w:line="360" w:lineRule="auto"/>
        <w:ind w:firstLine="480" w:firstLineChars="200"/>
        <w:rPr>
          <w:rFonts w:ascii="宋体" w:hAnsi="宋体"/>
          <w:bCs/>
          <w:sz w:val="24"/>
          <w:szCs w:val="24"/>
        </w:rPr>
      </w:pPr>
      <w:r>
        <w:rPr>
          <w:rFonts w:hint="eastAsia" w:ascii="宋体" w:hAnsi="宋体"/>
          <w:bCs/>
          <w:sz w:val="24"/>
          <w:szCs w:val="24"/>
        </w:rPr>
        <w:t>国际交流经历分为国际学习与国际会议，具体评分标准参照下表；</w:t>
      </w:r>
    </w:p>
    <w:p>
      <w:pPr>
        <w:spacing w:line="360" w:lineRule="auto"/>
        <w:ind w:firstLine="480" w:firstLineChars="200"/>
        <w:rPr>
          <w:rFonts w:ascii="宋体" w:hAnsi="宋体"/>
          <w:bCs/>
          <w:sz w:val="24"/>
          <w:szCs w:val="24"/>
        </w:rPr>
      </w:pPr>
      <w:r>
        <w:rPr>
          <w:rFonts w:hint="eastAsia" w:ascii="宋体" w:hAnsi="宋体"/>
          <w:bCs/>
          <w:sz w:val="24"/>
          <w:szCs w:val="24"/>
        </w:rPr>
        <w:t>国际学习</w:t>
      </w:r>
    </w:p>
    <w:tbl>
      <w:tblPr>
        <w:tblStyle w:val="6"/>
        <w:tblW w:w="8217" w:type="dxa"/>
        <w:tblInd w:w="113" w:type="dxa"/>
        <w:tblLayout w:type="autofit"/>
        <w:tblCellMar>
          <w:top w:w="0" w:type="dxa"/>
          <w:left w:w="108" w:type="dxa"/>
          <w:bottom w:w="0" w:type="dxa"/>
          <w:right w:w="108" w:type="dxa"/>
        </w:tblCellMar>
      </w:tblPr>
      <w:tblGrid>
        <w:gridCol w:w="1271"/>
        <w:gridCol w:w="5954"/>
        <w:gridCol w:w="992"/>
      </w:tblGrid>
      <w:tr>
        <w:trPr>
          <w:trHeight w:val="499" w:hRule="atLeast"/>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59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分值</w:t>
            </w:r>
          </w:p>
        </w:tc>
      </w:tr>
      <w:tr>
        <w:trPr>
          <w:trHeight w:val="499" w:hRule="atLeast"/>
        </w:trPr>
        <w:tc>
          <w:tcPr>
            <w:tcW w:w="12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学习单位</w:t>
            </w:r>
          </w:p>
        </w:tc>
        <w:tc>
          <w:tcPr>
            <w:tcW w:w="5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北美、欧洲、新加坡、香港全球四个地区排名前50名的大学、商学院、经济学院、信息技术与认知神经科学的实验室</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w:t>
            </w:r>
          </w:p>
        </w:tc>
      </w:tr>
      <w:tr>
        <w:trPr>
          <w:trHeight w:val="499"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5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国际顶级机构（如联合国下属各机构等）</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w:t>
            </w:r>
          </w:p>
        </w:tc>
      </w:tr>
      <w:tr>
        <w:trPr>
          <w:trHeight w:val="499" w:hRule="atLeast"/>
        </w:trPr>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5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rPr>
            </w:pPr>
            <w:r>
              <w:rPr>
                <w:rFonts w:hint="eastAsia" w:ascii="宋体" w:hAnsi="宋体" w:cs="宋体"/>
                <w:kern w:val="0"/>
                <w:sz w:val="22"/>
              </w:rPr>
              <w:t>其他高校、机构</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0.2</w:t>
            </w:r>
          </w:p>
        </w:tc>
      </w:tr>
      <w:tr>
        <w:trPr>
          <w:trHeight w:val="499" w:hRule="atLeast"/>
        </w:trPr>
        <w:tc>
          <w:tcPr>
            <w:tcW w:w="1271"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学习时长</w:t>
            </w:r>
          </w:p>
        </w:tc>
        <w:tc>
          <w:tcPr>
            <w:tcW w:w="595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12个月以上（含12个月）</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100%</w:t>
            </w:r>
          </w:p>
        </w:tc>
      </w:tr>
      <w:tr>
        <w:trPr>
          <w:trHeight w:val="616" w:hRule="atLeast"/>
        </w:trPr>
        <w:tc>
          <w:tcPr>
            <w:tcW w:w="1271" w:type="dxa"/>
            <w:vMerge w:val="continue"/>
            <w:tcBorders>
              <w:left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595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3-12个月（含3个月）</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75%</w:t>
            </w:r>
          </w:p>
        </w:tc>
      </w:tr>
      <w:tr>
        <w:trPr>
          <w:trHeight w:val="616" w:hRule="atLeast"/>
        </w:trPr>
        <w:tc>
          <w:tcPr>
            <w:tcW w:w="1271" w:type="dxa"/>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p>
        </w:tc>
        <w:tc>
          <w:tcPr>
            <w:tcW w:w="595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3个月以下</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10%</w:t>
            </w:r>
          </w:p>
        </w:tc>
      </w:tr>
    </w:tbl>
    <w:p>
      <w:pPr>
        <w:spacing w:line="360" w:lineRule="auto"/>
        <w:ind w:firstLine="480" w:firstLineChars="200"/>
        <w:rPr>
          <w:rFonts w:ascii="宋体" w:hAnsi="宋体"/>
          <w:bCs/>
          <w:sz w:val="24"/>
          <w:szCs w:val="24"/>
        </w:rPr>
      </w:pPr>
      <w:r>
        <w:rPr>
          <w:rFonts w:hint="eastAsia" w:ascii="宋体" w:hAnsi="宋体"/>
          <w:bCs/>
          <w:sz w:val="24"/>
          <w:szCs w:val="24"/>
        </w:rPr>
        <w:t>注：计算办法：学习单位分值*学习时长</w:t>
      </w: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r>
        <w:rPr>
          <w:rFonts w:hint="eastAsia" w:ascii="宋体" w:hAnsi="宋体"/>
          <w:bCs/>
          <w:sz w:val="24"/>
          <w:szCs w:val="24"/>
        </w:rPr>
        <w:t>国际会议</w:t>
      </w:r>
    </w:p>
    <w:p>
      <w:pPr>
        <w:spacing w:line="360" w:lineRule="auto"/>
        <w:ind w:firstLine="480" w:firstLineChars="200"/>
        <w:rPr>
          <w:rFonts w:ascii="宋体" w:hAnsi="宋体"/>
          <w:bCs/>
          <w:sz w:val="24"/>
          <w:szCs w:val="24"/>
        </w:rPr>
      </w:pPr>
      <w:r>
        <w:rPr>
          <w:rFonts w:hint="eastAsia" w:ascii="宋体" w:hAnsi="宋体"/>
          <w:bCs/>
          <w:sz w:val="24"/>
          <w:szCs w:val="24"/>
        </w:rPr>
        <w:t>学生参加国际会议需要以上海外国语大学作为第一单位接收论文，并做论文口头报告或张贴论文海报</w:t>
      </w:r>
    </w:p>
    <w:tbl>
      <w:tblPr>
        <w:tblStyle w:val="6"/>
        <w:tblpPr w:leftFromText="180" w:rightFromText="180" w:vertAnchor="text" w:horzAnchor="margin" w:tblpY="121"/>
        <w:tblW w:w="8217" w:type="dxa"/>
        <w:tblInd w:w="0" w:type="dxa"/>
        <w:tblLayout w:type="autofit"/>
        <w:tblCellMar>
          <w:top w:w="0" w:type="dxa"/>
          <w:left w:w="108" w:type="dxa"/>
          <w:bottom w:w="0" w:type="dxa"/>
          <w:right w:w="108" w:type="dxa"/>
        </w:tblCellMar>
      </w:tblPr>
      <w:tblGrid>
        <w:gridCol w:w="2802"/>
        <w:gridCol w:w="4423"/>
        <w:gridCol w:w="992"/>
      </w:tblGrid>
      <w:tr>
        <w:trPr>
          <w:trHeight w:val="499" w:hRule="atLeast"/>
        </w:trPr>
        <w:tc>
          <w:tcPr>
            <w:tcW w:w="28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一级指标</w:t>
            </w:r>
          </w:p>
        </w:tc>
        <w:tc>
          <w:tcPr>
            <w:tcW w:w="44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二级指标</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分值</w:t>
            </w:r>
          </w:p>
        </w:tc>
      </w:tr>
      <w:tr>
        <w:trPr>
          <w:trHeight w:val="499" w:hRule="atLeast"/>
        </w:trPr>
        <w:tc>
          <w:tcPr>
            <w:tcW w:w="280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项目类型</w:t>
            </w:r>
          </w:p>
        </w:tc>
        <w:tc>
          <w:tcPr>
            <w:tcW w:w="44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重要国际会议</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2</w:t>
            </w:r>
          </w:p>
        </w:tc>
      </w:tr>
      <w:tr>
        <w:trPr>
          <w:trHeight w:val="499" w:hRule="atLeast"/>
        </w:trPr>
        <w:tc>
          <w:tcPr>
            <w:tcW w:w="280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442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其他国际会议</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0.2</w:t>
            </w:r>
          </w:p>
        </w:tc>
      </w:tr>
    </w:tbl>
    <w:p>
      <w:pPr>
        <w:pStyle w:val="2"/>
        <w:spacing w:line="276" w:lineRule="auto"/>
        <w:rPr>
          <w:sz w:val="22"/>
        </w:rPr>
      </w:pPr>
      <w:r>
        <w:rPr>
          <w:rFonts w:hint="eastAsia" w:ascii="宋体" w:hAnsi="宋体"/>
          <w:bCs/>
          <w:sz w:val="24"/>
          <w:szCs w:val="24"/>
        </w:rPr>
        <w:t>注：</w:t>
      </w:r>
      <w:r>
        <w:rPr>
          <w:rFonts w:hint="eastAsia"/>
          <w:sz w:val="22"/>
        </w:rPr>
        <w:t>重要国际会议参照当年《上海外国语大学国际工商管理学院研究生国际学术会议参会资助实施细则》</w:t>
      </w:r>
    </w:p>
    <w:p>
      <w:pPr>
        <w:spacing w:line="276" w:lineRule="auto"/>
        <w:rPr>
          <w:rFonts w:ascii="宋体" w:hAnsi="宋体"/>
          <w:b/>
          <w:bCs/>
          <w:szCs w:val="21"/>
        </w:rPr>
      </w:pPr>
      <w:r>
        <w:rPr>
          <w:rFonts w:hint="eastAsia" w:ascii="宋体" w:hAnsi="宋体"/>
          <w:b/>
          <w:bCs/>
          <w:szCs w:val="21"/>
        </w:rPr>
        <w:t>说明：</w:t>
      </w:r>
    </w:p>
    <w:p>
      <w:pPr>
        <w:spacing w:line="276" w:lineRule="auto"/>
        <w:rPr>
          <w:rFonts w:ascii="宋体" w:hAnsi="宋体"/>
          <w:bCs/>
          <w:szCs w:val="21"/>
        </w:rPr>
      </w:pPr>
      <w:r>
        <w:rPr>
          <w:rFonts w:hint="eastAsia" w:ascii="宋体" w:hAnsi="宋体"/>
          <w:bCs/>
          <w:szCs w:val="21"/>
        </w:rPr>
        <w:t>1.国际交流经历分从“国际学习”、“国际会议”两方面衡量，总分</w:t>
      </w:r>
      <w:r>
        <w:rPr>
          <w:rFonts w:ascii="宋体" w:hAnsi="宋体"/>
          <w:bCs/>
          <w:szCs w:val="21"/>
        </w:rPr>
        <w:t>为</w:t>
      </w:r>
      <w:r>
        <w:rPr>
          <w:rFonts w:hint="eastAsia" w:ascii="宋体" w:hAnsi="宋体"/>
          <w:bCs/>
          <w:szCs w:val="21"/>
        </w:rPr>
        <w:t>两</w:t>
      </w:r>
      <w:r>
        <w:rPr>
          <w:rFonts w:ascii="宋体" w:hAnsi="宋体"/>
          <w:bCs/>
          <w:szCs w:val="21"/>
        </w:rPr>
        <w:t>项之和</w:t>
      </w:r>
      <w:r>
        <w:rPr>
          <w:rFonts w:hint="eastAsia" w:ascii="宋体" w:hAnsi="宋体"/>
          <w:bCs/>
          <w:szCs w:val="21"/>
        </w:rPr>
        <w:t>。</w:t>
      </w:r>
    </w:p>
    <w:p>
      <w:pPr>
        <w:spacing w:line="276" w:lineRule="auto"/>
        <w:rPr>
          <w:rFonts w:ascii="宋体" w:hAnsi="宋体"/>
          <w:bCs/>
          <w:szCs w:val="21"/>
        </w:rPr>
      </w:pPr>
      <w:r>
        <w:rPr>
          <w:rFonts w:hint="eastAsia" w:ascii="宋体" w:hAnsi="宋体"/>
          <w:bCs/>
          <w:szCs w:val="21"/>
        </w:rPr>
        <w:t>2.国际交流范围只包括境外参加的学习与学术会议；</w:t>
      </w:r>
    </w:p>
    <w:p>
      <w:pPr>
        <w:spacing w:line="276" w:lineRule="auto"/>
        <w:rPr>
          <w:rFonts w:hint="eastAsia" w:ascii="宋体" w:hAnsi="宋体"/>
          <w:bCs/>
          <w:szCs w:val="21"/>
        </w:rPr>
      </w:pPr>
      <w:r>
        <w:rPr>
          <w:rFonts w:hint="eastAsia" w:ascii="宋体" w:hAnsi="宋体"/>
          <w:bCs/>
          <w:szCs w:val="21"/>
        </w:rPr>
        <w:t xml:space="preserve">3.申请材料均以公开或证明材料为依据。 </w:t>
      </w:r>
    </w:p>
    <w:p>
      <w:pPr>
        <w:spacing w:line="276" w:lineRule="auto"/>
        <w:rPr>
          <w:rFonts w:hint="default" w:ascii="宋体" w:hAnsi="宋体" w:eastAsia="宋体"/>
          <w:bCs/>
          <w:szCs w:val="21"/>
          <w:lang w:eastAsia="zh-Hans"/>
        </w:rPr>
      </w:pPr>
      <w:r>
        <w:rPr>
          <w:rFonts w:hint="default" w:ascii="宋体" w:hAnsi="宋体"/>
          <w:bCs/>
          <w:szCs w:val="21"/>
        </w:rPr>
        <w:t>4</w:t>
      </w:r>
      <w:r>
        <w:rPr>
          <w:rFonts w:hint="eastAsia" w:ascii="宋体" w:hAnsi="宋体"/>
          <w:bCs/>
          <w:szCs w:val="21"/>
          <w:lang w:val="en-US" w:eastAsia="zh-Hans"/>
        </w:rPr>
        <w:t>.一般情况下，在线参加国际交流不得分。若因不可抗力因素</w:t>
      </w:r>
      <w:bookmarkStart w:id="0" w:name="_GoBack"/>
      <w:bookmarkEnd w:id="0"/>
      <w:r>
        <w:rPr>
          <w:rFonts w:hint="eastAsia" w:ascii="宋体" w:hAnsi="宋体"/>
          <w:bCs/>
          <w:szCs w:val="21"/>
          <w:lang w:val="en-US" w:eastAsia="zh-Hans"/>
        </w:rPr>
        <w:t>（如新冠疫情），在线参加的国际交流项目可得同类项目的一半分值。</w:t>
      </w:r>
    </w:p>
    <w:p>
      <w:pPr>
        <w:widowControl/>
        <w:jc w:val="left"/>
        <w:rPr>
          <w:rFonts w:ascii="宋体" w:hAnsi="宋体"/>
          <w:bCs/>
          <w:szCs w:val="21"/>
        </w:rPr>
      </w:pPr>
      <w:r>
        <w:rPr>
          <w:rFonts w:ascii="宋体" w:hAnsi="宋体"/>
          <w:bCs/>
          <w:szCs w:val="21"/>
        </w:rPr>
        <w:br w:type="page"/>
      </w:r>
    </w:p>
    <w:p>
      <w:pPr>
        <w:pStyle w:val="2"/>
        <w:spacing w:line="276" w:lineRule="auto"/>
        <w:jc w:val="left"/>
        <w:rPr>
          <w:rStyle w:val="14"/>
          <w:rFonts w:hint="default"/>
          <w:sz w:val="22"/>
        </w:rPr>
      </w:pPr>
      <w:r>
        <w:rPr>
          <w:rFonts w:hint="eastAsia" w:ascii="宋体" w:hAnsi="宋体"/>
          <w:bCs/>
          <w:szCs w:val="21"/>
        </w:rPr>
        <w:t xml:space="preserve">    </w:t>
      </w:r>
      <w:r>
        <w:rPr>
          <w:rStyle w:val="14"/>
          <w:rFonts w:hint="default" w:ascii="黑体" w:hAnsi="黑体" w:eastAsia="黑体"/>
          <w:szCs w:val="28"/>
        </w:rPr>
        <w:t>附录：重要国际会议名单</w:t>
      </w:r>
    </w:p>
    <w:p>
      <w:pPr>
        <w:pStyle w:val="2"/>
        <w:spacing w:line="276" w:lineRule="auto"/>
        <w:rPr>
          <w:sz w:val="22"/>
        </w:rPr>
      </w:pPr>
      <w:r>
        <w:rPr>
          <w:rFonts w:hint="eastAsia"/>
          <w:sz w:val="22"/>
        </w:rPr>
        <w:t>注：该名单按照《上海外国语大学国际工商管理学院研究生国际学术会议参会资助实施细则》动态调整</w:t>
      </w:r>
    </w:p>
    <w:p>
      <w:pPr>
        <w:tabs>
          <w:tab w:val="left" w:pos="709"/>
        </w:tabs>
        <w:spacing w:after="140" w:line="276" w:lineRule="auto"/>
        <w:rPr>
          <w:b/>
        </w:rPr>
      </w:pPr>
    </w:p>
    <w:tbl>
      <w:tblPr>
        <w:tblStyle w:val="6"/>
        <w:tblW w:w="9160" w:type="dxa"/>
        <w:tblInd w:w="93" w:type="dxa"/>
        <w:tblLayout w:type="autofit"/>
        <w:tblCellMar>
          <w:top w:w="0" w:type="dxa"/>
          <w:left w:w="108" w:type="dxa"/>
          <w:bottom w:w="0" w:type="dxa"/>
          <w:right w:w="108" w:type="dxa"/>
        </w:tblCellMar>
      </w:tblPr>
      <w:tblGrid>
        <w:gridCol w:w="4980"/>
        <w:gridCol w:w="2020"/>
        <w:gridCol w:w="2160"/>
      </w:tblGrid>
      <w:tr>
        <w:trPr>
          <w:trHeight w:val="640" w:hRule="atLeast"/>
        </w:trPr>
        <w:tc>
          <w:tcPr>
            <w:tcW w:w="49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等线" w:hAnsi="宋体" w:eastAsia="等线"/>
                <w:bCs/>
                <w:color w:val="000000"/>
                <w:kern w:val="0"/>
                <w:sz w:val="18"/>
                <w:szCs w:val="18"/>
              </w:rPr>
            </w:pPr>
            <w:r>
              <w:rPr>
                <w:rFonts w:hint="eastAsia" w:ascii="等线" w:hAnsi="宋体" w:eastAsia="等线"/>
                <w:bCs/>
                <w:color w:val="000000"/>
                <w:kern w:val="0"/>
                <w:sz w:val="18"/>
                <w:szCs w:val="18"/>
              </w:rPr>
              <w:t>会议英文名称</w:t>
            </w:r>
          </w:p>
        </w:tc>
        <w:tc>
          <w:tcPr>
            <w:tcW w:w="20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等线" w:hAnsi="宋体" w:eastAsia="等线"/>
                <w:bCs/>
                <w:color w:val="000000"/>
                <w:kern w:val="0"/>
                <w:sz w:val="18"/>
                <w:szCs w:val="18"/>
              </w:rPr>
            </w:pPr>
            <w:r>
              <w:rPr>
                <w:rFonts w:hint="eastAsia" w:ascii="等线" w:hAnsi="宋体" w:eastAsia="等线"/>
                <w:bCs/>
                <w:color w:val="000000"/>
                <w:kern w:val="0"/>
                <w:sz w:val="18"/>
                <w:szCs w:val="18"/>
              </w:rPr>
              <w:t>会议中文名称</w:t>
            </w:r>
          </w:p>
        </w:tc>
        <w:tc>
          <w:tcPr>
            <w:tcW w:w="216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等线" w:hAnsi="宋体" w:eastAsia="等线"/>
                <w:bCs/>
                <w:color w:val="000000"/>
                <w:kern w:val="0"/>
                <w:sz w:val="18"/>
                <w:szCs w:val="18"/>
              </w:rPr>
            </w:pPr>
            <w:r>
              <w:rPr>
                <w:rFonts w:hint="eastAsia" w:ascii="等线" w:hAnsi="宋体" w:eastAsia="等线"/>
                <w:bCs/>
                <w:color w:val="000000"/>
                <w:kern w:val="0"/>
                <w:sz w:val="18"/>
                <w:szCs w:val="18"/>
              </w:rPr>
              <w:t>学科分类</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International Conference on Information Systems</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ACM SIGCHI International Conference on Computer-Human Interaction</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Institute of Operations Research and Management Science Annual Meeting</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运筹学与管理科学协会国际会议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Production and Operations Management Society  Annual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Manufacturing and Services Operations Management  Annual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Decision Sciences Institute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Winter Simulation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IEEE Engineering Management Society Annual Meeting</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IEEE工程管理学会年会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Portland International Conference on Management of Engineering and Technolog</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波特兰工程与技术管理国际会议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Annual Cambridge Technology Management Symposiu</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剑桥技术管理年会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European Conference on Information Systems</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Workshop on Information Systems and Economics</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Workshop on Information Technologies and Systems</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Americas Conference on Information Systems</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Pacific-Asia Conference on Information Systems</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ACM SIGCPR International Conference on Computer Personnel Research</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ACM SIGGROUP International Conference on Supporting Group Work</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IFIP Technical Committee 8 Working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管理科学与工程</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Association of Consumer Research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AMA  summer marketing Academic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American Accounting Association Annual Meeting</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European Accounting Association Annual Congress</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Annual Meeting of the Academy of Management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The Society for Industrial and Organizational Psychology</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Academy of International Business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SMS Annual Meetin</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战略管理学会年会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Academy of Marketing Science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The Society for Consumer Psychology</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The Society for Judgment and Decision Making</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Informs Society for Marketing Science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Canadian Accounting Association Annual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The Chinese Accounting Professors’ Association of North America Anual Research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MIT Asia Conference in Accounting</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The International Association for Chinese Management Research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中国管理研究国际会议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International Association of Applied Psychology</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国际应用心理学会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European Group for Organizational Studies</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Society for Business Ethics</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APM Project Management Conference，Association for Project Management</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International Congress of Psychology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国际心理学大会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工商管理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America Political Science Association</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美国政治学学会年会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American Society for Public Administration</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美国公共管理学会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International Institute of Administrative Sciences</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国际行政科学学会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International Political Science Association</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国际政治学会大会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Midwest Political Science Association</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美国中西部政治学年会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Asian Association for Public Administration</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亚洲公共管理学会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The Association for Asian Studies</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美国亚洲研究协会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Cross-Strait Conference on Public Adimistration</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两岸四地公共管理学术研讨会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International Conference on Public Administration</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公共管理国际会议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International Geographical Congress</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国际地理大会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International Society for Third-Sector Research</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国际第三部门研究学会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Association for Public Policy Analysis and Management</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美国公共政策分析和管理协会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公共管理</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Economic Science Association International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国际经济科学年会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Annual International Industrial Organization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国际产业经济学年会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American Finance Association Annual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美国金融学会年会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Western Finance Association Annual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美国西部金融学会年会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North American Summer Meeting of the Econometric Society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北美计量经济学会夏季年会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American Economic Association Annual Meeting</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美国经济学年会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European Association for Research in Industrial Economics  Annual Conference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欧洲产业经济学年会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Economic Science Association North American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经济科学北美年会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European Finance Association Annual meeting</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欧洲金融学会年会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China International Conference in Finance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中国金融国际年会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European Financial Management Association Annual Meeting</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欧洲金融管理学会年会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Financial Management Association Annual Meeting</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金融管理学会年会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Eastern Finance Association Annual Meeting</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东部金融学会年会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World Finance Conference annual meeting</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世界金融学会年会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Asian Finance Association Annual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亚洲金融学会年会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Econometric Society World Congress</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世界计量经济学大会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Far Eastern Meeting of The Econometric Society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世界计量经济学会远东会议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North American Winter Meeting of The Econometric Society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北美计量经济学会冬季年会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Association of Environmental and Resources Economist Summer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环境与资源经济学家协会夏季会议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Society of Labor Economists annual meeting</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劳工经济学家协会年会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Western Economic Association International Annual Conference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西方经济协会国际年会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The European Meetings of the Econometric Society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世界计量学会欧洲会议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Annual  Conference   of  Society  for  Financial  Econometrics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社会金融计量经济学年会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International   Symposium   on   Econometric   Theory and Applications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计量经济理论与应用国际研讨会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Computational and Financial Econometrics</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计算和计量经济学国际会议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International  Symposium  on  Financial  Engineering and  Risk Management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金融工程和风险管理国际学术研讨会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The Meetings of European Economic Association</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欧洲经济协会会议</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Annual   Conference   of   European   Economics   and  Finance Society </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 xml:space="preserve">欧洲经济和金融学会年会 </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Annual Conference of Chinese Economists Society</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中国留美经济学会年会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Alliance for Research on Coporate Sustainability Annual Conference</w:t>
            </w:r>
          </w:p>
        </w:tc>
        <w:tc>
          <w:tcPr>
            <w:tcW w:w="2020" w:type="dxa"/>
            <w:tcBorders>
              <w:top w:val="nil"/>
              <w:left w:val="nil"/>
              <w:bottom w:val="single" w:color="auto" w:sz="4" w:space="0"/>
              <w:right w:val="single" w:color="auto" w:sz="4" w:space="0"/>
            </w:tcBorders>
            <w:shd w:val="clear" w:color="000000" w:fill="FFFFFF"/>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企业可持续发展研究联盟的年会</w:t>
            </w:r>
          </w:p>
        </w:tc>
        <w:tc>
          <w:tcPr>
            <w:tcW w:w="2160" w:type="dxa"/>
            <w:tcBorders>
              <w:top w:val="nil"/>
              <w:left w:val="nil"/>
              <w:bottom w:val="single" w:color="auto" w:sz="4" w:space="0"/>
              <w:right w:val="single" w:color="auto" w:sz="4" w:space="0"/>
            </w:tcBorders>
            <w:shd w:val="clear" w:color="000000" w:fill="FFFFFF"/>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应用经济学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The Organization for Human Brain Mapping</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国际人类脑图谱学会</w:t>
            </w:r>
          </w:p>
        </w:tc>
        <w:tc>
          <w:tcPr>
            <w:tcW w:w="216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心理学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Society for Neuroscience</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神经科学学会</w:t>
            </w:r>
          </w:p>
        </w:tc>
        <w:tc>
          <w:tcPr>
            <w:tcW w:w="216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心理学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Cognitive Neuroscience Society</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认知神经科学学会</w:t>
            </w:r>
          </w:p>
        </w:tc>
        <w:tc>
          <w:tcPr>
            <w:tcW w:w="216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心理学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Society for Neuroeconomics</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神经经济学学会</w:t>
            </w:r>
          </w:p>
        </w:tc>
        <w:tc>
          <w:tcPr>
            <w:tcW w:w="216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心理学</w:t>
            </w:r>
          </w:p>
        </w:tc>
      </w:tr>
      <w:tr>
        <w:trPr>
          <w:trHeight w:val="640" w:hRule="atLeast"/>
        </w:trPr>
        <w:tc>
          <w:tcPr>
            <w:tcW w:w="49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International Congress of Psychology</w:t>
            </w:r>
          </w:p>
        </w:tc>
        <w:tc>
          <w:tcPr>
            <w:tcW w:w="2020" w:type="dxa"/>
            <w:tcBorders>
              <w:top w:val="nil"/>
              <w:left w:val="nil"/>
              <w:bottom w:val="single" w:color="auto" w:sz="4" w:space="0"/>
              <w:right w:val="single" w:color="auto" w:sz="4" w:space="0"/>
            </w:tcBorders>
            <w:shd w:val="clear" w:color="auto" w:fill="auto"/>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国际心理学大会</w:t>
            </w:r>
          </w:p>
        </w:tc>
        <w:tc>
          <w:tcPr>
            <w:tcW w:w="2160"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心理学</w:t>
            </w:r>
          </w:p>
        </w:tc>
      </w:tr>
      <w:tr>
        <w:trPr>
          <w:trHeight w:val="640" w:hRule="atLeast"/>
        </w:trPr>
        <w:tc>
          <w:tcPr>
            <w:tcW w:w="4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IPRRC（International Public Relations Researchers Conference）</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美国IPRRC（国际公共关系学人年会）</w:t>
            </w:r>
          </w:p>
        </w:tc>
        <w:tc>
          <w:tcPr>
            <w:tcW w:w="216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公共关系学</w:t>
            </w:r>
          </w:p>
        </w:tc>
      </w:tr>
      <w:tr>
        <w:trPr>
          <w:trHeight w:val="640" w:hRule="atLeast"/>
        </w:trPr>
        <w:tc>
          <w:tcPr>
            <w:tcW w:w="4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等线" w:hAnsi="宋体" w:eastAsia="等线"/>
                <w:b/>
                <w:color w:val="000000"/>
                <w:kern w:val="0"/>
                <w:sz w:val="18"/>
                <w:szCs w:val="18"/>
              </w:rPr>
            </w:pPr>
            <w:r>
              <w:rPr>
                <w:rFonts w:ascii="等线" w:hAnsi="宋体" w:eastAsia="等线"/>
                <w:color w:val="000000"/>
                <w:kern w:val="0"/>
                <w:sz w:val="18"/>
                <w:szCs w:val="18"/>
              </w:rPr>
              <w:t>International Public Relations Research Symposium</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欧洲BeldCom（布莱德会议）</w:t>
            </w:r>
          </w:p>
        </w:tc>
        <w:tc>
          <w:tcPr>
            <w:tcW w:w="216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等线" w:hAnsi="宋体" w:eastAsia="等线"/>
                <w:b/>
                <w:color w:val="000000"/>
                <w:kern w:val="0"/>
                <w:sz w:val="18"/>
                <w:szCs w:val="18"/>
              </w:rPr>
            </w:pPr>
            <w:r>
              <w:rPr>
                <w:rFonts w:hint="eastAsia" w:ascii="等线" w:hAnsi="宋体" w:eastAsia="等线"/>
                <w:color w:val="000000"/>
                <w:kern w:val="0"/>
                <w:sz w:val="18"/>
                <w:szCs w:val="18"/>
              </w:rPr>
              <w:t>公共关系学</w:t>
            </w:r>
          </w:p>
        </w:tc>
      </w:tr>
    </w:tbl>
    <w:p>
      <w:pPr>
        <w:widowControl/>
        <w:rPr>
          <w:b/>
        </w:rPr>
      </w:pPr>
    </w:p>
    <w:p>
      <w:pPr>
        <w:spacing w:line="276" w:lineRule="auto"/>
        <w:ind w:firstLine="480"/>
        <w:rPr>
          <w:rFonts w:ascii="宋体" w:hAnsi="宋体"/>
          <w:bCs/>
          <w:szCs w:val="21"/>
        </w:rPr>
      </w:pPr>
      <w:r>
        <w:rPr>
          <w:rFonts w:hint="eastAsia" w:ascii="宋体" w:hAnsi="宋体"/>
          <w:bCs/>
          <w:sz w:val="24"/>
          <w:szCs w:val="24"/>
        </w:rPr>
        <w:t xml:space="preserve">                                                 </w:t>
      </w:r>
    </w:p>
    <w:p>
      <w:pPr>
        <w:spacing w:line="288" w:lineRule="auto"/>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D0"/>
    <w:rsid w:val="0002241E"/>
    <w:rsid w:val="0008016A"/>
    <w:rsid w:val="000B73F0"/>
    <w:rsid w:val="0010319F"/>
    <w:rsid w:val="00103EEC"/>
    <w:rsid w:val="001469A7"/>
    <w:rsid w:val="001D26D6"/>
    <w:rsid w:val="001F6879"/>
    <w:rsid w:val="00207211"/>
    <w:rsid w:val="0021364C"/>
    <w:rsid w:val="0023611E"/>
    <w:rsid w:val="0026204F"/>
    <w:rsid w:val="002E7621"/>
    <w:rsid w:val="003120B2"/>
    <w:rsid w:val="00322D96"/>
    <w:rsid w:val="00356256"/>
    <w:rsid w:val="00371C35"/>
    <w:rsid w:val="00397A75"/>
    <w:rsid w:val="003E7930"/>
    <w:rsid w:val="004209E6"/>
    <w:rsid w:val="0045198B"/>
    <w:rsid w:val="004539D8"/>
    <w:rsid w:val="004B7669"/>
    <w:rsid w:val="00543432"/>
    <w:rsid w:val="00545536"/>
    <w:rsid w:val="00552AF4"/>
    <w:rsid w:val="00573A95"/>
    <w:rsid w:val="00587434"/>
    <w:rsid w:val="005F1063"/>
    <w:rsid w:val="00613DF0"/>
    <w:rsid w:val="006535CF"/>
    <w:rsid w:val="006633A2"/>
    <w:rsid w:val="006D3FBB"/>
    <w:rsid w:val="006E54D0"/>
    <w:rsid w:val="006F0DCF"/>
    <w:rsid w:val="00700FB5"/>
    <w:rsid w:val="00752207"/>
    <w:rsid w:val="00764E8E"/>
    <w:rsid w:val="00772659"/>
    <w:rsid w:val="007A46F9"/>
    <w:rsid w:val="007B1962"/>
    <w:rsid w:val="007C0BD1"/>
    <w:rsid w:val="007C747B"/>
    <w:rsid w:val="007D7DE3"/>
    <w:rsid w:val="00833485"/>
    <w:rsid w:val="00893AC9"/>
    <w:rsid w:val="008B4E6C"/>
    <w:rsid w:val="008F6A1D"/>
    <w:rsid w:val="00904BB1"/>
    <w:rsid w:val="009F1452"/>
    <w:rsid w:val="00A00BFA"/>
    <w:rsid w:val="00A01696"/>
    <w:rsid w:val="00A56918"/>
    <w:rsid w:val="00A840FD"/>
    <w:rsid w:val="00B27167"/>
    <w:rsid w:val="00B63A38"/>
    <w:rsid w:val="00B81739"/>
    <w:rsid w:val="00BA2F3D"/>
    <w:rsid w:val="00BA4269"/>
    <w:rsid w:val="00BD27B6"/>
    <w:rsid w:val="00C12D98"/>
    <w:rsid w:val="00C700E0"/>
    <w:rsid w:val="00C73AB2"/>
    <w:rsid w:val="00C85C17"/>
    <w:rsid w:val="00C86A18"/>
    <w:rsid w:val="00CE6DDF"/>
    <w:rsid w:val="00D276F5"/>
    <w:rsid w:val="00D7361F"/>
    <w:rsid w:val="00DA5751"/>
    <w:rsid w:val="00DB3B4B"/>
    <w:rsid w:val="00DC03B3"/>
    <w:rsid w:val="00DC22C9"/>
    <w:rsid w:val="00DD09AF"/>
    <w:rsid w:val="00DE60F8"/>
    <w:rsid w:val="00E20EB5"/>
    <w:rsid w:val="00E2265E"/>
    <w:rsid w:val="00EC365A"/>
    <w:rsid w:val="00EC5A20"/>
    <w:rsid w:val="00F05484"/>
    <w:rsid w:val="00F81BE7"/>
    <w:rsid w:val="00FB3F26"/>
    <w:rsid w:val="00FE1D8C"/>
    <w:rsid w:val="00FE64F5"/>
    <w:rsid w:val="4C7A9E52"/>
    <w:rsid w:val="59CB2151"/>
    <w:rsid w:val="6CFFF548"/>
    <w:rsid w:val="6F6DE51F"/>
    <w:rsid w:val="6FDB139E"/>
    <w:rsid w:val="73CD97AF"/>
    <w:rsid w:val="7CEFCC28"/>
    <w:rsid w:val="BC7CD71C"/>
    <w:rsid w:val="FE3B5586"/>
    <w:rsid w:val="FEDFD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unhideWhenUsed/>
    <w:qFormat/>
    <w:uiPriority w:val="0"/>
    <w:pPr>
      <w:spacing w:after="120"/>
    </w:p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批注框文本 字符"/>
    <w:basedOn w:val="8"/>
    <w:link w:val="3"/>
    <w:semiHidden/>
    <w:qFormat/>
    <w:uiPriority w:val="99"/>
    <w:rPr>
      <w:rFonts w:ascii="Calibri" w:hAnsi="Calibri" w:eastAsia="宋体" w:cs="Times New Roman"/>
      <w:sz w:val="18"/>
      <w:szCs w:val="18"/>
    </w:rPr>
  </w:style>
  <w:style w:type="character" w:customStyle="1" w:styleId="11">
    <w:name w:val="页眉 字符"/>
    <w:basedOn w:val="8"/>
    <w:link w:val="5"/>
    <w:qFormat/>
    <w:uiPriority w:val="99"/>
    <w:rPr>
      <w:rFonts w:ascii="Calibri" w:hAnsi="Calibri" w:eastAsia="宋体" w:cs="Times New Roman"/>
      <w:sz w:val="18"/>
      <w:szCs w:val="18"/>
    </w:rPr>
  </w:style>
  <w:style w:type="character" w:customStyle="1" w:styleId="12">
    <w:name w:val="页脚 字符"/>
    <w:basedOn w:val="8"/>
    <w:link w:val="4"/>
    <w:qFormat/>
    <w:uiPriority w:val="99"/>
    <w:rPr>
      <w:rFonts w:ascii="Calibri" w:hAnsi="Calibri" w:eastAsia="宋体" w:cs="Times New Roman"/>
      <w:sz w:val="18"/>
      <w:szCs w:val="18"/>
    </w:rPr>
  </w:style>
  <w:style w:type="character" w:customStyle="1" w:styleId="13">
    <w:name w:val="正文文本 字符"/>
    <w:basedOn w:val="8"/>
    <w:link w:val="2"/>
    <w:semiHidden/>
    <w:qFormat/>
    <w:uiPriority w:val="0"/>
    <w:rPr>
      <w:rFonts w:ascii="Calibri" w:hAnsi="Calibri" w:eastAsia="宋体" w:cs="Times New Roman"/>
    </w:rPr>
  </w:style>
  <w:style w:type="character" w:customStyle="1" w:styleId="14">
    <w:name w:val="fontstyle01"/>
    <w:basedOn w:val="8"/>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6</Pages>
  <Words>927</Words>
  <Characters>5289</Characters>
  <Lines>44</Lines>
  <Paragraphs>12</Paragraphs>
  <TotalTime>282</TotalTime>
  <ScaleCrop>false</ScaleCrop>
  <LinksUpToDate>false</LinksUpToDate>
  <CharactersWithSpaces>6204</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2018-09-14T16:43:00Z</dcterms:created>
  <dc:creator>blue</dc:creator>
  <cp:lastModifiedBy>思思</cp:lastModifiedBy>
  <cp:lastPrinted>2018-10-11T09:10:00Z</cp:lastPrinted>
  <dcterms:modified xsi:type="dcterms:W3CDTF">2022-10-17T15:24:32Z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73CEC82E27CDB1D743EF47637DFDBD09</vt:lpwstr>
  </property>
</Properties>
</file>