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华文中宋" w:hAnsi="华文中宋" w:eastAsia="华文中宋" w:cs="华文中宋"/>
          <w:b/>
          <w:bCs/>
          <w:kern w:val="2"/>
          <w:sz w:val="36"/>
          <w:szCs w:val="36"/>
        </w:rPr>
      </w:pPr>
      <w:r>
        <w:rPr>
          <w:rFonts w:hint="eastAsia" w:ascii="华文中宋" w:hAnsi="华文中宋" w:eastAsia="华文中宋" w:cs="华文中宋"/>
          <w:b/>
          <w:bCs/>
          <w:kern w:val="2"/>
          <w:sz w:val="36"/>
          <w:szCs w:val="36"/>
        </w:rPr>
        <w:t>上海外国语大学关于开展2019年度课程思政</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华文中宋" w:hAnsi="华文中宋" w:eastAsia="华文中宋" w:cs="华文中宋"/>
          <w:b/>
          <w:bCs/>
          <w:kern w:val="2"/>
          <w:sz w:val="36"/>
          <w:szCs w:val="36"/>
        </w:rPr>
      </w:pPr>
      <w:r>
        <w:rPr>
          <w:rFonts w:hint="eastAsia" w:ascii="华文中宋" w:hAnsi="华文中宋" w:eastAsia="华文中宋" w:cs="华文中宋"/>
          <w:b/>
          <w:bCs/>
          <w:kern w:val="2"/>
          <w:sz w:val="36"/>
          <w:szCs w:val="36"/>
        </w:rPr>
        <w:t>“课程链”项目申报工作的通知</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宋体" w:hAnsi="宋体"/>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仿宋"/>
          <w:color w:val="000000"/>
          <w:spacing w:val="-8"/>
          <w:sz w:val="28"/>
          <w:szCs w:val="28"/>
        </w:rPr>
      </w:pPr>
      <w:r>
        <w:rPr>
          <w:rFonts w:hint="eastAsia" w:ascii="仿宋" w:hAnsi="仿宋" w:eastAsia="仿宋" w:cs="仿宋"/>
          <w:color w:val="000000"/>
          <w:spacing w:val="-8"/>
          <w:sz w:val="28"/>
          <w:szCs w:val="28"/>
        </w:rPr>
        <w:t>各本科人才培养单位：</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color w:val="000000"/>
          <w:spacing w:val="-8"/>
          <w:sz w:val="28"/>
          <w:szCs w:val="28"/>
        </w:rPr>
      </w:pPr>
      <w:r>
        <w:rPr>
          <w:rFonts w:hint="eastAsia" w:ascii="仿宋" w:hAnsi="仿宋" w:eastAsia="仿宋" w:cs="仿宋"/>
          <w:color w:val="000000"/>
          <w:spacing w:val="-8"/>
          <w:sz w:val="28"/>
          <w:szCs w:val="28"/>
        </w:rPr>
        <w:t>为深入贯彻落实习近平总书记关于教育工作系列重要讲话精神，推动全国教育大会、全国和上海高校思想政治工作会议精神、《教育部关于深化本科教育教学改革 全面提高人才培养质量的意见》、《教育部关于一流本科课程建设的实施意见》等文件精神落地生根，巩固学校“上海市课程思政教育教学改革整体试点校”和“上海高校课程思政整体改革领航高校”改革成果，推动学校课程思政改革向纵深发展，学校发布《上海外国语大学关于课程思政“课程链”建设的实施意见》（附件1），决定启动课程思政“课程链”建设工作。现将有关事项通知如下：</w:t>
      </w:r>
    </w:p>
    <w:p>
      <w:pPr>
        <w:keepNext w:val="0"/>
        <w:keepLines w:val="0"/>
        <w:pageBreakBefore w:val="0"/>
        <w:widowControl/>
        <w:kinsoku/>
        <w:wordWrap/>
        <w:overflowPunct/>
        <w:topLinePunct w:val="0"/>
        <w:autoSpaceDE/>
        <w:autoSpaceDN/>
        <w:bidi w:val="0"/>
        <w:adjustRightInd/>
        <w:snapToGrid/>
        <w:spacing w:before="312" w:beforeLines="100" w:after="312" w:afterLines="100" w:line="540" w:lineRule="exact"/>
        <w:textAlignment w:val="auto"/>
        <w:rPr>
          <w:rFonts w:hint="eastAsia" w:ascii="仿宋" w:hAnsi="仿宋" w:eastAsia="仿宋" w:cs="仿宋"/>
          <w:b/>
          <w:color w:val="000000"/>
          <w:spacing w:val="-8"/>
          <w:sz w:val="28"/>
          <w:szCs w:val="28"/>
        </w:rPr>
      </w:pPr>
      <w:r>
        <w:rPr>
          <w:rFonts w:hint="eastAsia" w:ascii="仿宋" w:hAnsi="仿宋" w:eastAsia="仿宋" w:cs="仿宋"/>
          <w:b/>
          <w:color w:val="000000"/>
          <w:spacing w:val="-8"/>
          <w:sz w:val="28"/>
          <w:szCs w:val="28"/>
        </w:rPr>
        <w:t>一、工作目标</w:t>
      </w:r>
    </w:p>
    <w:p>
      <w:pPr>
        <w:keepNext w:val="0"/>
        <w:keepLines w:val="0"/>
        <w:pageBreakBefore w:val="0"/>
        <w:widowControl/>
        <w:kinsoku/>
        <w:wordWrap/>
        <w:overflowPunct/>
        <w:topLinePunct w:val="0"/>
        <w:autoSpaceDE/>
        <w:autoSpaceDN/>
        <w:bidi w:val="0"/>
        <w:adjustRightInd/>
        <w:snapToGrid/>
        <w:spacing w:line="540" w:lineRule="exact"/>
        <w:ind w:firstLine="530" w:firstLineChars="200"/>
        <w:textAlignment w:val="auto"/>
        <w:rPr>
          <w:rFonts w:hint="eastAsia" w:ascii="仿宋" w:hAnsi="仿宋" w:eastAsia="仿宋" w:cs="仿宋"/>
          <w:b/>
          <w:bCs/>
          <w:color w:val="000000"/>
          <w:spacing w:val="-8"/>
          <w:sz w:val="28"/>
          <w:szCs w:val="28"/>
        </w:rPr>
      </w:pPr>
      <w:r>
        <w:rPr>
          <w:rFonts w:hint="eastAsia" w:ascii="仿宋" w:hAnsi="仿宋" w:eastAsia="仿宋" w:cs="仿宋"/>
          <w:b/>
          <w:bCs/>
          <w:color w:val="000000"/>
          <w:spacing w:val="-8"/>
          <w:sz w:val="28"/>
          <w:szCs w:val="28"/>
        </w:rPr>
        <w:t>“课程链”是围绕特定主题、传授特定知识、培养学生特定能力设立的一组课程，由多门课程“串联”形成。课程是“点”</w:t>
      </w:r>
      <w:r>
        <w:rPr>
          <w:rFonts w:hint="eastAsia" w:ascii="仿宋" w:hAnsi="仿宋" w:eastAsia="仿宋" w:cs="仿宋"/>
          <w:color w:val="000000"/>
          <w:spacing w:val="-8"/>
          <w:sz w:val="28"/>
          <w:szCs w:val="28"/>
        </w:rPr>
        <w:t>，是构成本科专业人才培养方案的基本元素，每门课程都承担了培养人才某一方面或几个方面知识、能力、素质的功能和任务。</w:t>
      </w:r>
      <w:r>
        <w:rPr>
          <w:rFonts w:hint="eastAsia" w:ascii="仿宋" w:hAnsi="仿宋" w:eastAsia="仿宋" w:cs="仿宋"/>
          <w:b/>
          <w:bCs/>
          <w:color w:val="000000"/>
          <w:spacing w:val="-8"/>
          <w:sz w:val="28"/>
          <w:szCs w:val="28"/>
        </w:rPr>
        <w:t>“课程链”是“线”</w:t>
      </w:r>
      <w:r>
        <w:rPr>
          <w:rFonts w:hint="eastAsia" w:ascii="仿宋" w:hAnsi="仿宋" w:eastAsia="仿宋" w:cs="仿宋"/>
          <w:color w:val="000000"/>
          <w:spacing w:val="-8"/>
          <w:sz w:val="28"/>
          <w:szCs w:val="28"/>
        </w:rPr>
        <w:t>，由多门课程联结而成，各门课程间存在显性关联和隐性关联，显性关联是以学科专业知识为基础的知识体系，隐形关联是贯穿教育教学过程中必不可少的价值内涵。</w:t>
      </w:r>
      <w:r>
        <w:rPr>
          <w:rFonts w:hint="eastAsia" w:ascii="仿宋" w:hAnsi="仿宋" w:eastAsia="仿宋" w:cs="仿宋"/>
          <w:b/>
          <w:bCs/>
          <w:color w:val="000000"/>
          <w:spacing w:val="-8"/>
          <w:sz w:val="28"/>
          <w:szCs w:val="28"/>
        </w:rPr>
        <w:t>“课程体系”是“面”</w:t>
      </w:r>
      <w:r>
        <w:rPr>
          <w:rFonts w:hint="eastAsia" w:ascii="仿宋" w:hAnsi="仿宋" w:eastAsia="仿宋" w:cs="仿宋"/>
          <w:color w:val="000000"/>
          <w:spacing w:val="-8"/>
          <w:sz w:val="28"/>
          <w:szCs w:val="28"/>
        </w:rPr>
        <w:t>，通过“课程链”建设，带动课堂教学改革、教师团队建设、教学资料建设、教学手段革新、实践活动拓展等，</w:t>
      </w:r>
      <w:r>
        <w:rPr>
          <w:rFonts w:hint="eastAsia" w:ascii="仿宋" w:hAnsi="仿宋" w:eastAsia="仿宋" w:cs="仿宋"/>
          <w:b/>
          <w:bCs/>
          <w:color w:val="000000"/>
          <w:spacing w:val="-8"/>
          <w:sz w:val="28"/>
          <w:szCs w:val="28"/>
        </w:rPr>
        <w:t>构建全面覆盖、类型丰富、层次递进、相互支撑的课程体系</w:t>
      </w:r>
      <w:r>
        <w:rPr>
          <w:rFonts w:hint="eastAsia" w:ascii="仿宋" w:hAnsi="仿宋" w:eastAsia="仿宋" w:cs="仿宋"/>
          <w:color w:val="000000"/>
          <w:spacing w:val="-8"/>
          <w:sz w:val="28"/>
          <w:szCs w:val="28"/>
        </w:rPr>
        <w:t>。</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color w:val="000000"/>
          <w:spacing w:val="-8"/>
          <w:sz w:val="28"/>
          <w:szCs w:val="28"/>
        </w:rPr>
      </w:pPr>
      <w:r>
        <w:rPr>
          <w:rFonts w:hint="eastAsia" w:ascii="仿宋" w:hAnsi="仿宋" w:eastAsia="仿宋" w:cs="仿宋"/>
          <w:color w:val="000000"/>
          <w:spacing w:val="-8"/>
          <w:sz w:val="28"/>
          <w:szCs w:val="28"/>
        </w:rPr>
        <w:t>课程思政“课程链”建设是在“课程链”的基础上，</w:t>
      </w:r>
      <w:r>
        <w:rPr>
          <w:rFonts w:hint="eastAsia" w:ascii="仿宋" w:hAnsi="仿宋" w:eastAsia="仿宋" w:cs="仿宋"/>
          <w:b/>
          <w:bCs/>
          <w:color w:val="000000"/>
          <w:spacing w:val="-8"/>
          <w:sz w:val="28"/>
          <w:szCs w:val="28"/>
        </w:rPr>
        <w:t>进一步挖掘各类课程和教学方式中蕴含的思想政治教育资源，在教育教学过程中注重“以价值引领为根本，以知识传授为线索，以能力发展为目标”，注重各门课程的相互连接、相互配合、相互照应，实现从“点”入手，抓“点”促“线”，以“线”带“面”，全面</w:t>
      </w:r>
      <w:r>
        <w:rPr>
          <w:rFonts w:hint="eastAsia" w:ascii="仿宋" w:hAnsi="仿宋" w:eastAsia="仿宋" w:cs="仿宋"/>
          <w:b/>
          <w:bCs/>
          <w:color w:val="000000"/>
          <w:spacing w:val="-8"/>
          <w:sz w:val="28"/>
          <w:szCs w:val="28"/>
          <w:lang w:eastAsia="zh-CN"/>
        </w:rPr>
        <w:t>推进</w:t>
      </w:r>
      <w:bookmarkStart w:id="0" w:name="_GoBack"/>
      <w:bookmarkEnd w:id="0"/>
      <w:r>
        <w:rPr>
          <w:rFonts w:hint="eastAsia" w:ascii="仿宋" w:hAnsi="仿宋" w:eastAsia="仿宋" w:cs="仿宋"/>
          <w:color w:val="000000"/>
          <w:spacing w:val="-8"/>
          <w:sz w:val="28"/>
          <w:szCs w:val="28"/>
        </w:rPr>
        <w:t>。</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color w:val="000000"/>
          <w:spacing w:val="-8"/>
          <w:sz w:val="28"/>
          <w:szCs w:val="28"/>
        </w:rPr>
      </w:pPr>
      <w:r>
        <w:rPr>
          <w:rFonts w:hint="eastAsia" w:ascii="仿宋" w:hAnsi="仿宋" w:eastAsia="仿宋" w:cs="仿宋"/>
          <w:color w:val="000000"/>
          <w:spacing w:val="-8"/>
          <w:sz w:val="28"/>
          <w:szCs w:val="28"/>
        </w:rPr>
        <w:t>课程思政“课程链”建设工作旨在在全校范围内树立“课程链”建设新理念，推动深化课程思政教育教学改革，</w:t>
      </w:r>
      <w:r>
        <w:rPr>
          <w:rFonts w:hint="eastAsia" w:ascii="仿宋" w:hAnsi="仿宋" w:eastAsia="仿宋" w:cs="仿宋"/>
          <w:b/>
          <w:bCs/>
          <w:color w:val="000000"/>
          <w:spacing w:val="-8"/>
          <w:sz w:val="28"/>
          <w:szCs w:val="28"/>
        </w:rPr>
        <w:t>夯实基层教学组织，提高教师育德能力，发挥多门课程的协同育人效应，</w:t>
      </w:r>
      <w:r>
        <w:rPr>
          <w:rFonts w:hint="eastAsia" w:ascii="仿宋" w:hAnsi="仿宋" w:eastAsia="仿宋" w:cs="仿宋"/>
          <w:color w:val="000000"/>
          <w:spacing w:val="-8"/>
          <w:sz w:val="28"/>
          <w:szCs w:val="28"/>
        </w:rPr>
        <w:t>引领带动全员</w:t>
      </w:r>
      <w:r>
        <w:rPr>
          <w:rFonts w:hint="eastAsia" w:ascii="仿宋" w:hAnsi="仿宋" w:eastAsia="仿宋" w:cs="仿宋"/>
          <w:color w:val="000000"/>
          <w:spacing w:val="-8"/>
          <w:sz w:val="28"/>
          <w:szCs w:val="28"/>
          <w:lang w:eastAsia="zh-CN"/>
        </w:rPr>
        <w:t>、</w:t>
      </w:r>
      <w:r>
        <w:rPr>
          <w:rFonts w:hint="eastAsia" w:ascii="仿宋" w:hAnsi="仿宋" w:eastAsia="仿宋" w:cs="仿宋"/>
          <w:color w:val="000000"/>
          <w:spacing w:val="-8"/>
          <w:sz w:val="28"/>
          <w:szCs w:val="28"/>
        </w:rPr>
        <w:t>全过程</w:t>
      </w:r>
      <w:r>
        <w:rPr>
          <w:rFonts w:hint="eastAsia" w:ascii="仿宋" w:hAnsi="仿宋" w:eastAsia="仿宋" w:cs="仿宋"/>
          <w:color w:val="000000"/>
          <w:spacing w:val="-8"/>
          <w:sz w:val="28"/>
          <w:szCs w:val="28"/>
          <w:lang w:eastAsia="zh-CN"/>
        </w:rPr>
        <w:t>、</w:t>
      </w:r>
      <w:r>
        <w:rPr>
          <w:rFonts w:hint="eastAsia" w:ascii="仿宋" w:hAnsi="仿宋" w:eastAsia="仿宋" w:cs="仿宋"/>
          <w:color w:val="000000"/>
          <w:spacing w:val="-8"/>
          <w:sz w:val="28"/>
          <w:szCs w:val="28"/>
        </w:rPr>
        <w:t>全方位</w:t>
      </w:r>
      <w:r>
        <w:rPr>
          <w:rFonts w:hint="eastAsia" w:ascii="仿宋" w:hAnsi="仿宋" w:eastAsia="仿宋" w:cs="仿宋"/>
          <w:color w:val="000000"/>
          <w:spacing w:val="-8"/>
          <w:sz w:val="28"/>
          <w:szCs w:val="28"/>
          <w:lang w:eastAsia="zh-CN"/>
        </w:rPr>
        <w:t>的</w:t>
      </w:r>
      <w:r>
        <w:rPr>
          <w:rFonts w:hint="eastAsia" w:ascii="仿宋" w:hAnsi="仿宋" w:eastAsia="仿宋" w:cs="仿宋"/>
          <w:b/>
          <w:bCs/>
          <w:color w:val="000000"/>
          <w:spacing w:val="-8"/>
          <w:sz w:val="28"/>
          <w:szCs w:val="28"/>
          <w:lang w:eastAsia="zh-CN"/>
        </w:rPr>
        <w:t>“三全育人”</w:t>
      </w:r>
      <w:r>
        <w:rPr>
          <w:rFonts w:hint="eastAsia" w:ascii="仿宋" w:hAnsi="仿宋" w:eastAsia="仿宋" w:cs="仿宋"/>
          <w:color w:val="000000"/>
          <w:spacing w:val="-8"/>
          <w:sz w:val="28"/>
          <w:szCs w:val="28"/>
          <w:lang w:eastAsia="zh-CN"/>
        </w:rPr>
        <w:t>，</w:t>
      </w:r>
      <w:r>
        <w:rPr>
          <w:rFonts w:hint="eastAsia" w:ascii="仿宋" w:hAnsi="仿宋" w:eastAsia="仿宋" w:cs="仿宋"/>
          <w:color w:val="000000"/>
          <w:spacing w:val="-8"/>
          <w:sz w:val="28"/>
          <w:szCs w:val="28"/>
        </w:rPr>
        <w:t>实现课程思政教育教学改革在全专业、全过程、全体学生的</w:t>
      </w:r>
      <w:r>
        <w:rPr>
          <w:rFonts w:hint="eastAsia" w:ascii="仿宋" w:hAnsi="仿宋" w:eastAsia="仿宋" w:cs="仿宋"/>
          <w:b/>
          <w:bCs/>
          <w:color w:val="000000"/>
          <w:spacing w:val="-8"/>
          <w:sz w:val="28"/>
          <w:szCs w:val="28"/>
        </w:rPr>
        <w:t>“三全覆盖”</w:t>
      </w:r>
      <w:r>
        <w:rPr>
          <w:rFonts w:hint="eastAsia" w:ascii="仿宋" w:hAnsi="仿宋" w:eastAsia="仿宋" w:cs="仿宋"/>
          <w:color w:val="000000"/>
          <w:spacing w:val="-8"/>
          <w:sz w:val="28"/>
          <w:szCs w:val="28"/>
        </w:rPr>
        <w:t>。</w:t>
      </w:r>
    </w:p>
    <w:p>
      <w:pPr>
        <w:keepNext w:val="0"/>
        <w:keepLines w:val="0"/>
        <w:pageBreakBefore w:val="0"/>
        <w:widowControl/>
        <w:kinsoku/>
        <w:wordWrap/>
        <w:overflowPunct/>
        <w:topLinePunct w:val="0"/>
        <w:autoSpaceDE/>
        <w:autoSpaceDN/>
        <w:bidi w:val="0"/>
        <w:adjustRightInd/>
        <w:snapToGrid/>
        <w:spacing w:before="312" w:beforeLines="100" w:after="312" w:afterLines="100" w:line="540" w:lineRule="exact"/>
        <w:textAlignment w:val="auto"/>
        <w:rPr>
          <w:rFonts w:hint="eastAsia" w:ascii="仿宋" w:hAnsi="仿宋" w:eastAsia="仿宋" w:cs="仿宋"/>
          <w:b/>
          <w:color w:val="000000"/>
          <w:spacing w:val="-8"/>
          <w:sz w:val="28"/>
          <w:szCs w:val="28"/>
        </w:rPr>
      </w:pPr>
      <w:r>
        <w:rPr>
          <w:rFonts w:hint="eastAsia" w:ascii="仿宋" w:hAnsi="仿宋" w:eastAsia="仿宋" w:cs="仿宋"/>
          <w:b/>
          <w:color w:val="000000"/>
          <w:spacing w:val="-8"/>
          <w:sz w:val="28"/>
          <w:szCs w:val="28"/>
          <w:lang w:eastAsia="zh-CN"/>
        </w:rPr>
        <w:t>二</w:t>
      </w:r>
      <w:r>
        <w:rPr>
          <w:rFonts w:hint="eastAsia" w:ascii="仿宋" w:hAnsi="仿宋" w:eastAsia="仿宋" w:cs="仿宋"/>
          <w:b/>
          <w:color w:val="000000"/>
          <w:spacing w:val="-8"/>
          <w:sz w:val="28"/>
          <w:szCs w:val="28"/>
        </w:rPr>
        <w:t>、重点任务</w:t>
      </w:r>
    </w:p>
    <w:p>
      <w:pPr>
        <w:keepNext w:val="0"/>
        <w:keepLines w:val="0"/>
        <w:pageBreakBefore w:val="0"/>
        <w:widowControl/>
        <w:kinsoku/>
        <w:wordWrap/>
        <w:overflowPunct/>
        <w:topLinePunct w:val="0"/>
        <w:autoSpaceDE/>
        <w:autoSpaceDN/>
        <w:bidi w:val="0"/>
        <w:adjustRightInd/>
        <w:snapToGrid/>
        <w:spacing w:line="540" w:lineRule="exact"/>
        <w:ind w:firstLine="530" w:firstLineChars="200"/>
        <w:textAlignment w:val="auto"/>
        <w:rPr>
          <w:rFonts w:hint="eastAsia" w:ascii="仿宋" w:hAnsi="仿宋" w:eastAsia="仿宋" w:cs="仿宋"/>
          <w:color w:val="000000"/>
          <w:spacing w:val="-8"/>
          <w:sz w:val="28"/>
          <w:szCs w:val="28"/>
        </w:rPr>
      </w:pPr>
      <w:r>
        <w:rPr>
          <w:rFonts w:hint="eastAsia" w:ascii="仿宋" w:hAnsi="仿宋" w:eastAsia="仿宋" w:cs="仿宋"/>
          <w:b/>
          <w:bCs/>
          <w:color w:val="000000"/>
          <w:spacing w:val="-8"/>
          <w:sz w:val="28"/>
          <w:szCs w:val="28"/>
        </w:rPr>
        <w:t>课程思政“课程链”建设</w:t>
      </w:r>
      <w:r>
        <w:rPr>
          <w:rFonts w:hint="eastAsia" w:ascii="仿宋" w:hAnsi="仿宋" w:eastAsia="仿宋" w:cs="仿宋"/>
          <w:b/>
          <w:bCs/>
          <w:color w:val="000000"/>
          <w:spacing w:val="-8"/>
          <w:sz w:val="28"/>
          <w:szCs w:val="28"/>
          <w:lang w:eastAsia="zh-CN"/>
        </w:rPr>
        <w:t>应</w:t>
      </w:r>
      <w:r>
        <w:rPr>
          <w:rFonts w:hint="eastAsia" w:ascii="仿宋" w:hAnsi="仿宋" w:eastAsia="仿宋" w:cs="仿宋"/>
          <w:b/>
          <w:bCs/>
          <w:color w:val="000000"/>
          <w:spacing w:val="-8"/>
          <w:sz w:val="28"/>
          <w:szCs w:val="28"/>
        </w:rPr>
        <w:t>具有可见的成果</w:t>
      </w:r>
      <w:r>
        <w:rPr>
          <w:rFonts w:hint="eastAsia" w:ascii="仿宋" w:hAnsi="仿宋" w:eastAsia="仿宋" w:cs="仿宋"/>
          <w:b w:val="0"/>
          <w:bCs w:val="0"/>
          <w:color w:val="000000"/>
          <w:spacing w:val="-8"/>
          <w:sz w:val="28"/>
          <w:szCs w:val="28"/>
        </w:rPr>
        <w:t>，</w:t>
      </w:r>
      <w:r>
        <w:rPr>
          <w:rFonts w:hint="eastAsia" w:ascii="仿宋" w:hAnsi="仿宋" w:eastAsia="仿宋" w:cs="仿宋"/>
          <w:color w:val="000000"/>
          <w:spacing w:val="-8"/>
          <w:sz w:val="28"/>
          <w:szCs w:val="28"/>
        </w:rPr>
        <w:t>详见《上海外国语大学课程思政“课程链”建设评分表》。</w:t>
      </w:r>
      <w:r>
        <w:rPr>
          <w:rFonts w:hint="eastAsia" w:ascii="仿宋" w:hAnsi="仿宋" w:eastAsia="仿宋" w:cs="仿宋"/>
          <w:b/>
          <w:bCs w:val="0"/>
          <w:sz w:val="28"/>
          <w:szCs w:val="28"/>
          <w:lang w:eastAsia="zh-CN"/>
        </w:rPr>
        <w:t>每组</w:t>
      </w:r>
      <w:r>
        <w:rPr>
          <w:rFonts w:hint="eastAsia" w:ascii="仿宋" w:hAnsi="仿宋" w:eastAsia="仿宋" w:cs="仿宋"/>
          <w:b/>
          <w:bCs w:val="0"/>
          <w:sz w:val="28"/>
          <w:szCs w:val="28"/>
        </w:rPr>
        <w:t>“课程链”</w:t>
      </w:r>
      <w:r>
        <w:rPr>
          <w:rFonts w:hint="eastAsia" w:ascii="仿宋" w:hAnsi="仿宋" w:eastAsia="仿宋" w:cs="仿宋"/>
          <w:b/>
          <w:bCs w:val="0"/>
          <w:i w:val="0"/>
          <w:iCs w:val="0"/>
          <w:sz w:val="28"/>
          <w:szCs w:val="28"/>
          <w:lang w:eastAsia="zh-CN"/>
        </w:rPr>
        <w:t>应包含</w:t>
      </w:r>
      <w:r>
        <w:rPr>
          <w:rFonts w:hint="eastAsia" w:ascii="仿宋" w:hAnsi="仿宋" w:eastAsia="仿宋" w:cs="仿宋"/>
          <w:b/>
          <w:bCs w:val="0"/>
          <w:i w:val="0"/>
          <w:iCs w:val="0"/>
          <w:sz w:val="28"/>
          <w:szCs w:val="28"/>
          <w:lang w:val="en-US" w:eastAsia="zh-CN"/>
        </w:rPr>
        <w:t>4门及以上课程，</w:t>
      </w:r>
      <w:r>
        <w:rPr>
          <w:rFonts w:hint="eastAsia" w:ascii="仿宋" w:hAnsi="仿宋" w:eastAsia="仿宋" w:cs="仿宋"/>
          <w:b/>
          <w:bCs w:val="0"/>
          <w:i w:val="0"/>
          <w:iCs w:val="0"/>
          <w:sz w:val="28"/>
          <w:szCs w:val="28"/>
        </w:rPr>
        <w:t>覆盖本科四年教学全程，应至少包括专业基础课、专业课、实践课三种类别</w:t>
      </w:r>
      <w:r>
        <w:rPr>
          <w:rFonts w:hint="eastAsia" w:ascii="仿宋" w:hAnsi="仿宋" w:eastAsia="仿宋" w:cs="仿宋"/>
          <w:bCs/>
          <w:sz w:val="28"/>
          <w:szCs w:val="28"/>
        </w:rPr>
        <w:t>。</w:t>
      </w:r>
    </w:p>
    <w:p>
      <w:pPr>
        <w:keepNext w:val="0"/>
        <w:keepLines w:val="0"/>
        <w:pageBreakBefore w:val="0"/>
        <w:widowControl/>
        <w:kinsoku/>
        <w:wordWrap/>
        <w:overflowPunct/>
        <w:topLinePunct w:val="0"/>
        <w:autoSpaceDE/>
        <w:autoSpaceDN/>
        <w:bidi w:val="0"/>
        <w:adjustRightInd/>
        <w:snapToGrid/>
        <w:spacing w:line="540" w:lineRule="exact"/>
        <w:ind w:firstLine="530" w:firstLineChars="200"/>
        <w:textAlignment w:val="auto"/>
        <w:rPr>
          <w:rFonts w:hint="eastAsia" w:ascii="仿宋" w:hAnsi="仿宋" w:eastAsia="仿宋" w:cs="仿宋"/>
          <w:b/>
          <w:color w:val="000000"/>
          <w:spacing w:val="-8"/>
          <w:sz w:val="28"/>
          <w:szCs w:val="28"/>
        </w:rPr>
      </w:pPr>
      <w:r>
        <w:rPr>
          <w:rFonts w:hint="eastAsia" w:ascii="仿宋" w:hAnsi="仿宋" w:eastAsia="仿宋" w:cs="仿宋"/>
          <w:b/>
          <w:color w:val="000000"/>
          <w:spacing w:val="-8"/>
          <w:sz w:val="28"/>
          <w:szCs w:val="28"/>
        </w:rPr>
        <w:t>1.以“课程链”建设为契机，完善课程思政工作机制。</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color w:val="000000"/>
          <w:spacing w:val="-8"/>
          <w:sz w:val="28"/>
          <w:szCs w:val="28"/>
        </w:rPr>
      </w:pPr>
      <w:r>
        <w:rPr>
          <w:rFonts w:hint="eastAsia" w:ascii="仿宋" w:hAnsi="仿宋" w:eastAsia="仿宋" w:cs="仿宋"/>
          <w:color w:val="000000"/>
          <w:spacing w:val="-8"/>
          <w:sz w:val="28"/>
          <w:szCs w:val="28"/>
        </w:rPr>
        <w:t>推动建立本单位党政齐抓共管、所有教师协同联动的课程思政建设工作格局，充分发挥每一位教师参与课程思政的积极性、主动性和创造性。根据本单位实际情况，建立课程思政工作评价体系，发挥评价导向功能，推动建设有抓手、落实任务可操作、持续推进见成效。</w:t>
      </w:r>
    </w:p>
    <w:p>
      <w:pPr>
        <w:keepNext w:val="0"/>
        <w:keepLines w:val="0"/>
        <w:pageBreakBefore w:val="0"/>
        <w:widowControl/>
        <w:kinsoku/>
        <w:wordWrap/>
        <w:overflowPunct/>
        <w:topLinePunct w:val="0"/>
        <w:autoSpaceDE/>
        <w:autoSpaceDN/>
        <w:bidi w:val="0"/>
        <w:adjustRightInd/>
        <w:snapToGrid/>
        <w:spacing w:line="540" w:lineRule="exact"/>
        <w:ind w:firstLine="530" w:firstLineChars="200"/>
        <w:textAlignment w:val="auto"/>
        <w:rPr>
          <w:rFonts w:hint="eastAsia" w:ascii="仿宋" w:hAnsi="仿宋" w:eastAsia="仿宋" w:cs="仿宋"/>
          <w:b/>
          <w:color w:val="000000"/>
          <w:spacing w:val="-8"/>
          <w:sz w:val="28"/>
          <w:szCs w:val="28"/>
        </w:rPr>
      </w:pPr>
      <w:r>
        <w:rPr>
          <w:rFonts w:hint="eastAsia" w:ascii="仿宋" w:hAnsi="仿宋" w:eastAsia="仿宋" w:cs="仿宋"/>
          <w:b/>
          <w:color w:val="000000"/>
          <w:spacing w:val="-8"/>
          <w:sz w:val="28"/>
          <w:szCs w:val="28"/>
        </w:rPr>
        <w:t>2.以“课程链”建设为重点，创新课程思政教学体系。</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color w:val="000000"/>
          <w:spacing w:val="-8"/>
          <w:sz w:val="28"/>
          <w:szCs w:val="28"/>
        </w:rPr>
      </w:pPr>
      <w:r>
        <w:rPr>
          <w:rFonts w:hint="eastAsia" w:ascii="仿宋" w:hAnsi="仿宋" w:eastAsia="仿宋" w:cs="仿宋"/>
          <w:color w:val="000000"/>
          <w:spacing w:val="-8"/>
          <w:sz w:val="28"/>
          <w:szCs w:val="28"/>
        </w:rPr>
        <w:t>对“课程链”进行总体教学设计，系统梳理各门课程所蕴含的思想政治教育元素和所承载的思想政治教育功能，整合优化课程内容，将思想政治教育贯彻各门课程教育之中，确立课程思政专业教学体系和课程教学体系，实现专业教育与思政教育的互嵌融通，课堂教学和课外实践的有机衔接。</w:t>
      </w:r>
    </w:p>
    <w:p>
      <w:pPr>
        <w:keepNext w:val="0"/>
        <w:keepLines w:val="0"/>
        <w:pageBreakBefore w:val="0"/>
        <w:widowControl/>
        <w:kinsoku/>
        <w:wordWrap/>
        <w:overflowPunct/>
        <w:topLinePunct w:val="0"/>
        <w:autoSpaceDE/>
        <w:autoSpaceDN/>
        <w:bidi w:val="0"/>
        <w:adjustRightInd/>
        <w:snapToGrid/>
        <w:spacing w:line="540" w:lineRule="exact"/>
        <w:ind w:firstLine="530" w:firstLineChars="200"/>
        <w:textAlignment w:val="auto"/>
        <w:rPr>
          <w:rFonts w:hint="eastAsia" w:ascii="仿宋" w:hAnsi="仿宋" w:eastAsia="仿宋" w:cs="仿宋"/>
          <w:b/>
          <w:color w:val="000000"/>
          <w:spacing w:val="-8"/>
          <w:sz w:val="28"/>
          <w:szCs w:val="28"/>
        </w:rPr>
      </w:pPr>
      <w:r>
        <w:rPr>
          <w:rFonts w:hint="eastAsia" w:ascii="仿宋" w:hAnsi="仿宋" w:eastAsia="仿宋" w:cs="仿宋"/>
          <w:b/>
          <w:color w:val="000000"/>
          <w:spacing w:val="-8"/>
          <w:sz w:val="28"/>
          <w:szCs w:val="28"/>
        </w:rPr>
        <w:t>3.以“课程链”建设为抓手，培育课程思政教师团队。</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b/>
          <w:color w:val="000000"/>
          <w:spacing w:val="-8"/>
          <w:sz w:val="28"/>
          <w:szCs w:val="28"/>
        </w:rPr>
      </w:pPr>
      <w:r>
        <w:rPr>
          <w:rFonts w:hint="eastAsia" w:ascii="仿宋" w:hAnsi="仿宋" w:eastAsia="仿宋" w:cs="仿宋"/>
          <w:color w:val="000000"/>
          <w:spacing w:val="-8"/>
          <w:sz w:val="28"/>
          <w:szCs w:val="28"/>
        </w:rPr>
        <w:t>发挥专业教师课程育人的主体作用，牢固基层教学组织建设，培育课程思政“课程链”教学团队。发挥名师、优师的引领示范作用和“传帮带”作用，加强教学梯队建设。提升教师育德意识和育德能力，杜绝单纯知识传递、忽视能力素质培养的现象。</w:t>
      </w:r>
    </w:p>
    <w:p>
      <w:pPr>
        <w:keepNext w:val="0"/>
        <w:keepLines w:val="0"/>
        <w:pageBreakBefore w:val="0"/>
        <w:widowControl/>
        <w:kinsoku/>
        <w:wordWrap/>
        <w:overflowPunct/>
        <w:topLinePunct w:val="0"/>
        <w:autoSpaceDE/>
        <w:autoSpaceDN/>
        <w:bidi w:val="0"/>
        <w:adjustRightInd/>
        <w:snapToGrid/>
        <w:spacing w:line="540" w:lineRule="exact"/>
        <w:ind w:firstLine="530" w:firstLineChars="200"/>
        <w:textAlignment w:val="auto"/>
        <w:rPr>
          <w:rFonts w:hint="eastAsia" w:ascii="仿宋" w:hAnsi="仿宋" w:eastAsia="仿宋" w:cs="仿宋"/>
          <w:b/>
          <w:color w:val="000000"/>
          <w:spacing w:val="-8"/>
          <w:sz w:val="28"/>
          <w:szCs w:val="28"/>
        </w:rPr>
      </w:pPr>
      <w:r>
        <w:rPr>
          <w:rFonts w:hint="eastAsia" w:ascii="仿宋" w:hAnsi="仿宋" w:eastAsia="仿宋" w:cs="仿宋"/>
          <w:b/>
          <w:color w:val="000000"/>
          <w:spacing w:val="-8"/>
          <w:sz w:val="28"/>
          <w:szCs w:val="28"/>
        </w:rPr>
        <w:t>4.以“课程链”建设为依托，构建课程思政评价体系。</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color w:val="000000"/>
          <w:spacing w:val="-8"/>
          <w:sz w:val="28"/>
          <w:szCs w:val="28"/>
        </w:rPr>
      </w:pPr>
      <w:r>
        <w:rPr>
          <w:rFonts w:hint="eastAsia" w:ascii="仿宋" w:hAnsi="仿宋" w:eastAsia="仿宋" w:cs="仿宋"/>
          <w:color w:val="000000"/>
          <w:spacing w:val="-8"/>
          <w:sz w:val="28"/>
          <w:szCs w:val="28"/>
        </w:rPr>
        <w:t>构建多维度的课程思政评价体系，督促落实课程思政“课程链”育人功能。实施科学课程评价，严格课程管理，将育人实效作为衡量教育教学效果的首要标准。</w:t>
      </w:r>
    </w:p>
    <w:p>
      <w:pPr>
        <w:keepNext w:val="0"/>
        <w:keepLines w:val="0"/>
        <w:pageBreakBefore w:val="0"/>
        <w:widowControl/>
        <w:kinsoku/>
        <w:wordWrap/>
        <w:overflowPunct/>
        <w:topLinePunct w:val="0"/>
        <w:autoSpaceDE/>
        <w:autoSpaceDN/>
        <w:bidi w:val="0"/>
        <w:adjustRightInd/>
        <w:snapToGrid/>
        <w:spacing w:before="312" w:beforeLines="100" w:after="312" w:afterLines="100" w:line="540" w:lineRule="exact"/>
        <w:textAlignment w:val="auto"/>
        <w:rPr>
          <w:rFonts w:hint="eastAsia" w:ascii="仿宋" w:hAnsi="仿宋" w:eastAsia="仿宋" w:cs="仿宋"/>
          <w:b/>
          <w:color w:val="000000"/>
          <w:spacing w:val="-8"/>
          <w:sz w:val="28"/>
          <w:szCs w:val="28"/>
          <w:lang w:eastAsia="zh-CN"/>
        </w:rPr>
      </w:pPr>
      <w:r>
        <w:rPr>
          <w:rFonts w:hint="eastAsia" w:ascii="仿宋" w:hAnsi="仿宋" w:eastAsia="仿宋" w:cs="仿宋"/>
          <w:b/>
          <w:color w:val="000000"/>
          <w:spacing w:val="-8"/>
          <w:sz w:val="28"/>
          <w:szCs w:val="28"/>
          <w:lang w:eastAsia="zh-CN"/>
        </w:rPr>
        <w:t>三、申报范围和额度</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b/>
          <w:bCs/>
          <w:color w:val="000000"/>
          <w:spacing w:val="-8"/>
          <w:sz w:val="28"/>
          <w:szCs w:val="28"/>
          <w:lang w:val="en-US" w:eastAsia="zh-CN"/>
        </w:rPr>
      </w:pPr>
      <w:r>
        <w:rPr>
          <w:rFonts w:hint="eastAsia" w:ascii="仿宋" w:hAnsi="仿宋" w:eastAsia="仿宋" w:cs="仿宋"/>
          <w:color w:val="000000"/>
          <w:spacing w:val="-8"/>
          <w:sz w:val="28"/>
          <w:szCs w:val="28"/>
        </w:rPr>
        <w:t>本次申报面向所有本科人才培养单位，以“课程链”形式</w:t>
      </w:r>
      <w:r>
        <w:rPr>
          <w:rFonts w:hint="eastAsia" w:ascii="仿宋" w:hAnsi="仿宋" w:eastAsia="仿宋" w:cs="仿宋"/>
          <w:b/>
          <w:bCs/>
          <w:color w:val="000000"/>
          <w:spacing w:val="-8"/>
          <w:sz w:val="28"/>
          <w:szCs w:val="28"/>
          <w:lang w:eastAsia="zh-CN"/>
        </w:rPr>
        <w:t>整体申报、</w:t>
      </w:r>
      <w:r>
        <w:rPr>
          <w:rFonts w:hint="eastAsia" w:ascii="仿宋" w:hAnsi="仿宋" w:eastAsia="仿宋" w:cs="仿宋"/>
          <w:b/>
          <w:bCs/>
          <w:color w:val="000000"/>
          <w:spacing w:val="-8"/>
          <w:sz w:val="28"/>
          <w:szCs w:val="28"/>
        </w:rPr>
        <w:t>整体立项、整体验收</w:t>
      </w:r>
      <w:r>
        <w:rPr>
          <w:rFonts w:hint="eastAsia" w:ascii="仿宋" w:hAnsi="仿宋" w:eastAsia="仿宋" w:cs="仿宋"/>
          <w:color w:val="000000"/>
          <w:spacing w:val="-8"/>
          <w:sz w:val="28"/>
          <w:szCs w:val="28"/>
        </w:rPr>
        <w:t>。</w:t>
      </w:r>
      <w:r>
        <w:rPr>
          <w:rFonts w:hint="eastAsia" w:ascii="仿宋" w:hAnsi="仿宋" w:eastAsia="仿宋" w:cs="仿宋"/>
          <w:b/>
          <w:bCs/>
          <w:color w:val="000000"/>
          <w:spacing w:val="-8"/>
          <w:sz w:val="28"/>
          <w:szCs w:val="28"/>
          <w:lang w:eastAsia="zh-CN"/>
        </w:rPr>
        <w:t>申报单位应至少建设</w:t>
      </w:r>
      <w:r>
        <w:rPr>
          <w:rFonts w:hint="eastAsia" w:ascii="仿宋" w:hAnsi="仿宋" w:eastAsia="仿宋" w:cs="仿宋"/>
          <w:b/>
          <w:bCs/>
          <w:color w:val="000000"/>
          <w:spacing w:val="-8"/>
          <w:sz w:val="28"/>
          <w:szCs w:val="28"/>
          <w:lang w:val="en-US" w:eastAsia="zh-CN"/>
        </w:rPr>
        <w:t>1组课程思政“课程链”。</w:t>
      </w:r>
    </w:p>
    <w:p>
      <w:pPr>
        <w:keepNext w:val="0"/>
        <w:keepLines w:val="0"/>
        <w:pageBreakBefore w:val="0"/>
        <w:widowControl/>
        <w:kinsoku/>
        <w:wordWrap/>
        <w:overflowPunct/>
        <w:topLinePunct w:val="0"/>
        <w:autoSpaceDE/>
        <w:autoSpaceDN/>
        <w:bidi w:val="0"/>
        <w:adjustRightInd/>
        <w:snapToGrid/>
        <w:spacing w:line="540" w:lineRule="exact"/>
        <w:ind w:firstLine="530" w:firstLineChars="200"/>
        <w:textAlignment w:val="auto"/>
        <w:rPr>
          <w:rFonts w:hint="eastAsia" w:ascii="仿宋" w:hAnsi="仿宋" w:eastAsia="仿宋" w:cs="仿宋"/>
          <w:b/>
          <w:bCs/>
          <w:color w:val="000000"/>
          <w:spacing w:val="-8"/>
          <w:sz w:val="28"/>
          <w:szCs w:val="28"/>
          <w:lang w:val="en-US" w:eastAsia="zh-CN"/>
        </w:rPr>
      </w:pPr>
      <w:r>
        <w:rPr>
          <w:rFonts w:hint="eastAsia" w:ascii="仿宋" w:hAnsi="仿宋" w:eastAsia="仿宋" w:cs="仿宋"/>
          <w:b/>
          <w:bCs/>
          <w:color w:val="000000"/>
          <w:spacing w:val="-8"/>
          <w:sz w:val="28"/>
          <w:szCs w:val="28"/>
          <w:lang w:val="en-US" w:eastAsia="zh-CN"/>
        </w:rPr>
        <w:t>课程思政重点改革领航学院</w:t>
      </w:r>
      <w:r>
        <w:rPr>
          <w:rFonts w:hint="eastAsia" w:ascii="仿宋" w:hAnsi="仿宋" w:eastAsia="仿宋" w:cs="仿宋"/>
          <w:color w:val="000000"/>
          <w:spacing w:val="-8"/>
          <w:sz w:val="28"/>
          <w:szCs w:val="28"/>
          <w:lang w:val="en-US" w:eastAsia="zh-CN"/>
        </w:rPr>
        <w:t>应在前期改革基础上，以建设卓有成效的课程为核心，以深谙课程思政教育教学理念的教师为带头人，引领课程思政“课程链”建设，形成具有上外特色的，可借鉴、可复制、可推广的课程思政“课程链”建设经验，</w:t>
      </w:r>
      <w:r>
        <w:rPr>
          <w:rFonts w:hint="eastAsia" w:ascii="仿宋" w:hAnsi="仿宋" w:eastAsia="仿宋" w:cs="仿宋"/>
          <w:b/>
          <w:bCs/>
          <w:color w:val="000000"/>
          <w:spacing w:val="-8"/>
          <w:sz w:val="28"/>
          <w:szCs w:val="28"/>
          <w:lang w:val="en-US" w:eastAsia="zh-CN"/>
        </w:rPr>
        <w:t>至少建成1组“精品课程思政‘课程链’”，“课程链”内课程建设层次原则上应均为精品课程建设项目，鼓励以“领航课程”为主开展“课程链”建设</w:t>
      </w:r>
      <w:r>
        <w:rPr>
          <w:rFonts w:hint="eastAsia" w:ascii="仿宋" w:hAnsi="仿宋" w:eastAsia="仿宋" w:cs="仿宋"/>
          <w:color w:val="000000"/>
          <w:spacing w:val="-8"/>
          <w:sz w:val="28"/>
          <w:szCs w:val="28"/>
          <w:lang w:val="en-US" w:eastAsia="zh-CN"/>
        </w:rPr>
        <w:t>。</w:t>
      </w:r>
      <w:r>
        <w:rPr>
          <w:rFonts w:hint="eastAsia" w:ascii="仿宋" w:hAnsi="仿宋" w:eastAsia="仿宋" w:cs="仿宋"/>
          <w:b/>
          <w:bCs/>
          <w:color w:val="000000"/>
          <w:spacing w:val="-8"/>
          <w:sz w:val="28"/>
          <w:szCs w:val="28"/>
          <w:lang w:val="en-US" w:eastAsia="zh-CN"/>
        </w:rPr>
        <w:t>领航学院应以“课程链”建设为抓手，开展课程思政领航学院建设工作，将领航团队和领航课程建设纳入学院整体建设任务。编制专业课程思政教学指南，加强制度建设和教师培训，充分发挥领航学院的引领示范作用。</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color w:val="000000"/>
          <w:spacing w:val="-8"/>
          <w:sz w:val="28"/>
          <w:szCs w:val="28"/>
          <w:lang w:val="en-US" w:eastAsia="zh-CN"/>
        </w:rPr>
      </w:pPr>
      <w:r>
        <w:rPr>
          <w:rFonts w:hint="eastAsia" w:ascii="仿宋" w:hAnsi="仿宋" w:eastAsia="仿宋" w:cs="仿宋"/>
          <w:color w:val="000000"/>
          <w:spacing w:val="-8"/>
          <w:sz w:val="28"/>
          <w:szCs w:val="28"/>
          <w:lang w:val="en-US" w:eastAsia="zh-CN"/>
        </w:rPr>
        <w:t>本次暂不申报“课程链”建设的培养单位，须在2019年度本科教学建设项目“课程思政专项”中落实建设相应课程</w:t>
      </w:r>
      <w:r>
        <w:rPr>
          <w:rFonts w:hint="eastAsia" w:ascii="仿宋" w:hAnsi="仿宋" w:eastAsia="仿宋" w:cs="仿宋"/>
          <w:b/>
          <w:bCs/>
          <w:color w:val="000000"/>
          <w:spacing w:val="-8"/>
          <w:sz w:val="28"/>
          <w:szCs w:val="28"/>
          <w:lang w:val="en-US" w:eastAsia="zh-CN"/>
        </w:rPr>
        <w:t>，确保每个专业均至少建设1门“课程思政专项”课程，保障课程思政教育教学改革工作实现在全校所有专业全覆盖</w:t>
      </w:r>
      <w:r>
        <w:rPr>
          <w:rFonts w:hint="eastAsia" w:ascii="仿宋" w:hAnsi="仿宋" w:eastAsia="仿宋" w:cs="仿宋"/>
          <w:color w:val="000000"/>
          <w:spacing w:val="-8"/>
          <w:sz w:val="28"/>
          <w:szCs w:val="28"/>
          <w:lang w:val="en-US" w:eastAsia="zh-CN"/>
        </w:rPr>
        <w:t>。</w:t>
      </w:r>
    </w:p>
    <w:p>
      <w:pPr>
        <w:keepNext w:val="0"/>
        <w:keepLines w:val="0"/>
        <w:pageBreakBefore w:val="0"/>
        <w:widowControl/>
        <w:kinsoku/>
        <w:wordWrap/>
        <w:overflowPunct/>
        <w:topLinePunct w:val="0"/>
        <w:autoSpaceDE/>
        <w:autoSpaceDN/>
        <w:bidi w:val="0"/>
        <w:adjustRightInd/>
        <w:snapToGrid/>
        <w:spacing w:before="312" w:beforeLines="100" w:after="312" w:afterLines="100" w:line="540" w:lineRule="exact"/>
        <w:textAlignment w:val="auto"/>
        <w:rPr>
          <w:rFonts w:hint="eastAsia" w:ascii="仿宋" w:hAnsi="仿宋" w:eastAsia="仿宋" w:cs="仿宋"/>
          <w:b/>
          <w:color w:val="000000"/>
          <w:spacing w:val="-8"/>
          <w:sz w:val="28"/>
          <w:szCs w:val="28"/>
          <w:lang w:val="en-US" w:eastAsia="zh-CN"/>
        </w:rPr>
      </w:pPr>
      <w:r>
        <w:rPr>
          <w:rFonts w:hint="eastAsia" w:ascii="仿宋" w:hAnsi="仿宋" w:eastAsia="仿宋" w:cs="仿宋"/>
          <w:b/>
          <w:color w:val="000000"/>
          <w:spacing w:val="-8"/>
          <w:sz w:val="28"/>
          <w:szCs w:val="28"/>
          <w:lang w:val="en-US" w:eastAsia="zh-CN"/>
        </w:rPr>
        <w:t>四、项目验收</w:t>
      </w:r>
    </w:p>
    <w:p>
      <w:pPr>
        <w:keepNext w:val="0"/>
        <w:keepLines w:val="0"/>
        <w:pageBreakBefore w:val="0"/>
        <w:widowControl/>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“课程链”建设周期为1年，建设期满后，</w:t>
      </w:r>
      <w:r>
        <w:rPr>
          <w:rFonts w:hint="eastAsia" w:ascii="仿宋" w:hAnsi="仿宋" w:eastAsia="仿宋" w:cs="仿宋"/>
          <w:b/>
          <w:bCs/>
          <w:sz w:val="28"/>
          <w:szCs w:val="28"/>
        </w:rPr>
        <w:t>学校对课程思政“课程链”</w:t>
      </w:r>
      <w:r>
        <w:rPr>
          <w:rFonts w:hint="eastAsia" w:ascii="仿宋" w:hAnsi="仿宋" w:eastAsia="仿宋" w:cs="仿宋"/>
          <w:b/>
          <w:bCs/>
          <w:sz w:val="28"/>
          <w:szCs w:val="28"/>
          <w:lang w:eastAsia="zh-CN"/>
        </w:rPr>
        <w:t>及其包含的课程进行整体</w:t>
      </w:r>
      <w:r>
        <w:rPr>
          <w:rFonts w:hint="eastAsia" w:ascii="仿宋" w:hAnsi="仿宋" w:eastAsia="仿宋" w:cs="仿宋"/>
          <w:b/>
          <w:bCs/>
          <w:sz w:val="28"/>
          <w:szCs w:val="28"/>
        </w:rPr>
        <w:t>验收</w:t>
      </w:r>
      <w:r>
        <w:rPr>
          <w:rFonts w:hint="eastAsia" w:ascii="仿宋" w:hAnsi="仿宋" w:eastAsia="仿宋" w:cs="仿宋"/>
          <w:b w:val="0"/>
          <w:bCs w:val="0"/>
          <w:sz w:val="28"/>
          <w:szCs w:val="28"/>
        </w:rPr>
        <w:t>。</w:t>
      </w:r>
    </w:p>
    <w:p>
      <w:pPr>
        <w:keepNext w:val="0"/>
        <w:keepLines w:val="0"/>
        <w:pageBreakBefore w:val="0"/>
        <w:widowControl/>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val="0"/>
          <w:bCs/>
          <w:sz w:val="28"/>
          <w:szCs w:val="28"/>
        </w:rPr>
      </w:pPr>
      <w:r>
        <w:rPr>
          <w:rFonts w:hint="eastAsia" w:ascii="仿宋" w:hAnsi="仿宋" w:eastAsia="仿宋" w:cs="仿宋"/>
          <w:b/>
          <w:sz w:val="28"/>
          <w:szCs w:val="28"/>
          <w:lang w:val="en-US" w:eastAsia="zh-CN"/>
        </w:rPr>
        <w:t>1.“课程链”验收:</w:t>
      </w:r>
      <w:r>
        <w:rPr>
          <w:rFonts w:hint="eastAsia" w:ascii="仿宋" w:hAnsi="仿宋" w:eastAsia="仿宋" w:cs="仿宋"/>
          <w:b w:val="0"/>
          <w:bCs/>
          <w:sz w:val="28"/>
          <w:szCs w:val="28"/>
        </w:rPr>
        <w:t>“课程链”验收重点在于“课程链”整体建设的成效，主要考察“课程链”</w:t>
      </w:r>
      <w:r>
        <w:rPr>
          <w:rFonts w:hint="eastAsia" w:ascii="仿宋" w:hAnsi="仿宋" w:eastAsia="仿宋" w:cs="仿宋"/>
          <w:b w:val="0"/>
          <w:bCs/>
          <w:sz w:val="28"/>
          <w:szCs w:val="28"/>
          <w:lang w:eastAsia="zh-CN"/>
        </w:rPr>
        <w:t>内</w:t>
      </w:r>
      <w:r>
        <w:rPr>
          <w:rFonts w:hint="eastAsia" w:ascii="仿宋" w:hAnsi="仿宋" w:eastAsia="仿宋" w:cs="仿宋"/>
          <w:b w:val="0"/>
          <w:bCs/>
          <w:sz w:val="28"/>
          <w:szCs w:val="28"/>
        </w:rPr>
        <w:t>的课程专业性与思政性及两者如何通过“链”的方式有机衔接。学校将对照</w:t>
      </w:r>
      <w:r>
        <w:rPr>
          <w:rFonts w:hint="eastAsia" w:ascii="仿宋" w:hAnsi="仿宋" w:eastAsia="仿宋" w:cs="仿宋"/>
          <w:b/>
          <w:bCs w:val="0"/>
          <w:sz w:val="28"/>
          <w:szCs w:val="28"/>
        </w:rPr>
        <w:t>《上海外国语大学关于课程思政“课程链”建设的实施意见》</w:t>
      </w:r>
      <w:r>
        <w:rPr>
          <w:rFonts w:hint="eastAsia" w:ascii="仿宋" w:hAnsi="仿宋" w:eastAsia="仿宋" w:cs="仿宋"/>
          <w:b/>
          <w:bCs w:val="0"/>
          <w:sz w:val="28"/>
          <w:szCs w:val="28"/>
          <w:lang w:eastAsia="zh-CN"/>
        </w:rPr>
        <w:t>和</w:t>
      </w:r>
      <w:r>
        <w:rPr>
          <w:rFonts w:hint="eastAsia" w:ascii="仿宋" w:hAnsi="仿宋" w:eastAsia="仿宋" w:cs="仿宋"/>
          <w:b/>
          <w:bCs w:val="0"/>
          <w:sz w:val="28"/>
          <w:szCs w:val="28"/>
        </w:rPr>
        <w:t>《上海外国语大学课程思政“课程链”建设评分表》</w:t>
      </w:r>
      <w:r>
        <w:rPr>
          <w:rFonts w:hint="eastAsia" w:ascii="仿宋" w:hAnsi="仿宋" w:eastAsia="仿宋" w:cs="仿宋"/>
          <w:b w:val="0"/>
          <w:bCs/>
          <w:sz w:val="28"/>
          <w:szCs w:val="28"/>
        </w:rPr>
        <w:t>（附件1）</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rPr>
        <w:t>对各“课程链”打分。</w:t>
      </w:r>
    </w:p>
    <w:p>
      <w:pPr>
        <w:keepNext w:val="0"/>
        <w:keepLines w:val="0"/>
        <w:pageBreakBefore w:val="0"/>
        <w:widowControl/>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“课程链”包含的课程验收：</w:t>
      </w:r>
      <w:r>
        <w:rPr>
          <w:rFonts w:hint="eastAsia" w:ascii="仿宋" w:hAnsi="仿宋" w:eastAsia="仿宋" w:cs="仿宋"/>
          <w:b w:val="0"/>
          <w:bCs w:val="0"/>
          <w:sz w:val="28"/>
          <w:szCs w:val="28"/>
          <w:lang w:eastAsia="zh-CN"/>
        </w:rPr>
        <w:t>学校将根据</w:t>
      </w:r>
      <w:r>
        <w:rPr>
          <w:rFonts w:hint="eastAsia" w:ascii="仿宋" w:hAnsi="仿宋" w:eastAsia="仿宋" w:cs="仿宋"/>
          <w:b/>
          <w:bCs/>
          <w:sz w:val="28"/>
          <w:szCs w:val="28"/>
          <w:lang w:eastAsia="zh-CN"/>
        </w:rPr>
        <w:t>《上海外国语大学本科课程建设管理办法》和《上海外国语大学课程精品课程建设标准（课程思政专项）》（附件</w:t>
      </w:r>
      <w:r>
        <w:rPr>
          <w:rFonts w:hint="eastAsia" w:ascii="仿宋" w:hAnsi="仿宋" w:eastAsia="仿宋" w:cs="仿宋"/>
          <w:b/>
          <w:bCs/>
          <w:sz w:val="28"/>
          <w:szCs w:val="28"/>
          <w:lang w:val="en-US" w:eastAsia="zh-CN"/>
        </w:rPr>
        <w:t>4</w:t>
      </w:r>
      <w:r>
        <w:rPr>
          <w:rFonts w:hint="eastAsia" w:ascii="仿宋" w:hAnsi="仿宋" w:eastAsia="仿宋" w:cs="仿宋"/>
          <w:b/>
          <w:bCs/>
          <w:sz w:val="28"/>
          <w:szCs w:val="28"/>
          <w:lang w:eastAsia="zh-CN"/>
        </w:rPr>
        <w:t>）</w:t>
      </w:r>
      <w:r>
        <w:rPr>
          <w:rFonts w:hint="eastAsia" w:ascii="仿宋" w:hAnsi="仿宋" w:eastAsia="仿宋" w:cs="仿宋"/>
          <w:b w:val="0"/>
          <w:bCs w:val="0"/>
          <w:sz w:val="28"/>
          <w:szCs w:val="28"/>
          <w:lang w:eastAsia="zh-CN"/>
        </w:rPr>
        <w:t>，对课程进行验收。</w:t>
      </w:r>
      <w:r>
        <w:rPr>
          <w:rFonts w:hint="eastAsia" w:ascii="仿宋" w:hAnsi="仿宋" w:eastAsia="仿宋" w:cs="仿宋"/>
          <w:b/>
          <w:bCs/>
          <w:sz w:val="28"/>
          <w:szCs w:val="28"/>
          <w:lang w:eastAsia="zh-CN"/>
        </w:rPr>
        <w:t>“课程链”建设期满，如“课程链”包含的课程达到课程建设标准，可提前结项。</w:t>
      </w:r>
    </w:p>
    <w:p>
      <w:pPr>
        <w:keepNext w:val="0"/>
        <w:keepLines w:val="0"/>
        <w:pageBreakBefore w:val="0"/>
        <w:widowControl/>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eastAsia="zh-CN"/>
        </w:rPr>
        <w:t>验收结论分为“优秀”“合格”“不合格”三类，</w:t>
      </w:r>
      <w:r>
        <w:rPr>
          <w:rFonts w:hint="eastAsia" w:ascii="仿宋" w:hAnsi="仿宋" w:eastAsia="仿宋" w:cs="仿宋"/>
          <w:b/>
          <w:bCs/>
          <w:sz w:val="28"/>
          <w:szCs w:val="28"/>
          <w:lang w:eastAsia="zh-CN"/>
        </w:rPr>
        <w:t>“课程链”及其包含的全部课程验收结论均为“合格”，整体验收结论方为“合格”。“课程链”及其包含的全部课程验收结论均为“优秀”，整体验收结论方为“优秀”。</w:t>
      </w:r>
      <w:r>
        <w:rPr>
          <w:rFonts w:hint="eastAsia" w:ascii="仿宋" w:hAnsi="仿宋" w:eastAsia="仿宋" w:cs="仿宋"/>
          <w:b w:val="0"/>
          <w:bCs w:val="0"/>
          <w:sz w:val="28"/>
          <w:szCs w:val="28"/>
          <w:lang w:eastAsia="zh-CN"/>
        </w:rPr>
        <w:t>学校授予整体验收结论为“优秀”的项目“精品课程思政‘课程链’”称号。</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b/>
          <w:bCs/>
          <w:sz w:val="28"/>
          <w:szCs w:val="28"/>
          <w:lang w:val="en-US" w:eastAsia="zh-CN"/>
        </w:rPr>
        <w:t>2.“课程思政重点改革领航学院”验收：</w:t>
      </w:r>
      <w:r>
        <w:rPr>
          <w:rFonts w:hint="eastAsia" w:ascii="仿宋" w:hAnsi="仿宋" w:eastAsia="仿宋" w:cs="仿宋"/>
          <w:b w:val="0"/>
          <w:bCs w:val="0"/>
          <w:sz w:val="28"/>
          <w:szCs w:val="28"/>
          <w:lang w:val="en-US" w:eastAsia="zh-CN"/>
        </w:rPr>
        <w:t>领航学院</w:t>
      </w:r>
      <w:r>
        <w:rPr>
          <w:rFonts w:hint="eastAsia" w:ascii="仿宋" w:hAnsi="仿宋" w:eastAsia="仿宋" w:cs="仿宋"/>
          <w:b/>
          <w:bCs/>
          <w:sz w:val="28"/>
          <w:szCs w:val="28"/>
          <w:lang w:val="en-US" w:eastAsia="zh-CN"/>
        </w:rPr>
        <w:t>应</w:t>
      </w:r>
      <w:r>
        <w:rPr>
          <w:rFonts w:hint="eastAsia" w:ascii="仿宋" w:hAnsi="仿宋" w:eastAsia="仿宋" w:cs="仿宋"/>
          <w:b/>
          <w:bCs/>
          <w:color w:val="000000"/>
          <w:spacing w:val="-8"/>
          <w:sz w:val="28"/>
          <w:szCs w:val="28"/>
          <w:lang w:val="en-US" w:eastAsia="zh-CN"/>
        </w:rPr>
        <w:t>至少建成1组“精品课程思政‘课程链’”，“课程链”内课程建设层次原则上应均为精品课程建设项目。</w:t>
      </w:r>
      <w:r>
        <w:rPr>
          <w:rFonts w:hint="eastAsia" w:ascii="仿宋" w:hAnsi="仿宋" w:eastAsia="仿宋" w:cs="仿宋"/>
          <w:b w:val="0"/>
          <w:bCs w:val="0"/>
          <w:sz w:val="28"/>
          <w:szCs w:val="28"/>
          <w:lang w:val="en-US" w:eastAsia="zh-CN"/>
        </w:rPr>
        <w:t>除</w:t>
      </w:r>
      <w:r>
        <w:rPr>
          <w:rFonts w:hint="eastAsia" w:ascii="仿宋" w:hAnsi="仿宋" w:eastAsia="仿宋" w:cs="仿宋"/>
          <w:b w:val="0"/>
          <w:bCs w:val="0"/>
          <w:sz w:val="28"/>
          <w:szCs w:val="28"/>
        </w:rPr>
        <w:t>对课程思政“课程链”</w:t>
      </w:r>
      <w:r>
        <w:rPr>
          <w:rFonts w:hint="eastAsia" w:ascii="仿宋" w:hAnsi="仿宋" w:eastAsia="仿宋" w:cs="仿宋"/>
          <w:b w:val="0"/>
          <w:bCs w:val="0"/>
          <w:sz w:val="28"/>
          <w:szCs w:val="28"/>
          <w:lang w:eastAsia="zh-CN"/>
        </w:rPr>
        <w:t>及其包含的课程进行整体</w:t>
      </w:r>
      <w:r>
        <w:rPr>
          <w:rFonts w:hint="eastAsia" w:ascii="仿宋" w:hAnsi="仿宋" w:eastAsia="仿宋" w:cs="仿宋"/>
          <w:b w:val="0"/>
          <w:bCs w:val="0"/>
          <w:sz w:val="28"/>
          <w:szCs w:val="28"/>
        </w:rPr>
        <w:t>验收</w:t>
      </w:r>
      <w:r>
        <w:rPr>
          <w:rFonts w:hint="eastAsia" w:ascii="仿宋" w:hAnsi="仿宋" w:eastAsia="仿宋" w:cs="仿宋"/>
          <w:b w:val="0"/>
          <w:bCs w:val="0"/>
          <w:sz w:val="28"/>
          <w:szCs w:val="28"/>
          <w:lang w:eastAsia="zh-CN"/>
        </w:rPr>
        <w:t>外，</w:t>
      </w:r>
      <w:r>
        <w:rPr>
          <w:rFonts w:hint="eastAsia" w:ascii="仿宋" w:hAnsi="仿宋" w:eastAsia="仿宋" w:cs="仿宋"/>
          <w:b/>
          <w:bCs/>
          <w:sz w:val="28"/>
          <w:szCs w:val="28"/>
          <w:lang w:eastAsia="zh-CN"/>
        </w:rPr>
        <w:t>学校还</w:t>
      </w:r>
      <w:r>
        <w:rPr>
          <w:rFonts w:hint="eastAsia" w:ascii="仿宋" w:hAnsi="仿宋" w:eastAsia="仿宋" w:cs="仿宋"/>
          <w:b/>
          <w:bCs/>
          <w:sz w:val="28"/>
          <w:szCs w:val="28"/>
          <w:lang w:val="en-US" w:eastAsia="zh-CN"/>
        </w:rPr>
        <w:t>将根据《关于实施2019年“上海高校课程思政领航计划”的通知》（附件5）要求，对各领航学院进行整体验收</w:t>
      </w:r>
      <w:r>
        <w:rPr>
          <w:rFonts w:hint="eastAsia" w:ascii="仿宋" w:hAnsi="仿宋" w:eastAsia="仿宋" w:cs="仿宋"/>
          <w:b w:val="0"/>
          <w:bCs w:val="0"/>
          <w:sz w:val="28"/>
          <w:szCs w:val="28"/>
          <w:lang w:val="en-US" w:eastAsia="zh-CN"/>
        </w:rPr>
        <w:t>。对于完成建设要求的学院，学校授予“上海高校课程思政重点改革领航学院”称号，授予完成建设要求的教师团队“上海高校课程思政特色改革领航团队”称号，授予达到完成建设要求的课程“上海高校课程思政精品改革领航课程”称号（</w:t>
      </w:r>
      <w:r>
        <w:rPr>
          <w:rFonts w:hint="eastAsia" w:ascii="仿宋" w:hAnsi="仿宋" w:eastAsia="仿宋" w:cs="仿宋"/>
          <w:b/>
          <w:bCs/>
          <w:sz w:val="28"/>
          <w:szCs w:val="28"/>
          <w:lang w:val="en-US" w:eastAsia="zh-CN"/>
        </w:rPr>
        <w:t>“课程链”建设期满，如“领航课程”建设达到精品课程建设标准，可提前结项</w:t>
      </w:r>
      <w:r>
        <w:rPr>
          <w:rFonts w:hint="eastAsia" w:ascii="仿宋" w:hAnsi="仿宋" w:eastAsia="仿宋" w:cs="仿宋"/>
          <w:b w:val="0"/>
          <w:bCs w:val="0"/>
          <w:sz w:val="28"/>
          <w:szCs w:val="28"/>
          <w:lang w:val="en-US" w:eastAsia="zh-CN"/>
        </w:rPr>
        <w:t>）。</w:t>
      </w:r>
    </w:p>
    <w:p>
      <w:pPr>
        <w:keepNext w:val="0"/>
        <w:keepLines w:val="0"/>
        <w:pageBreakBefore w:val="0"/>
        <w:widowControl/>
        <w:kinsoku/>
        <w:wordWrap/>
        <w:overflowPunct/>
        <w:topLinePunct w:val="0"/>
        <w:autoSpaceDE/>
        <w:autoSpaceDN/>
        <w:bidi w:val="0"/>
        <w:adjustRightInd/>
        <w:snapToGrid/>
        <w:spacing w:before="312" w:beforeLines="100" w:after="312" w:afterLines="100" w:line="540" w:lineRule="exact"/>
        <w:textAlignment w:val="auto"/>
        <w:rPr>
          <w:rFonts w:hint="eastAsia" w:ascii="仿宋" w:hAnsi="仿宋" w:eastAsia="仿宋" w:cs="仿宋"/>
          <w:b/>
          <w:color w:val="000000"/>
          <w:spacing w:val="-8"/>
          <w:sz w:val="28"/>
          <w:szCs w:val="28"/>
          <w:lang w:val="en-US" w:eastAsia="zh-CN"/>
        </w:rPr>
      </w:pPr>
      <w:r>
        <w:rPr>
          <w:rFonts w:hint="eastAsia" w:ascii="仿宋" w:hAnsi="仿宋" w:eastAsia="仿宋" w:cs="仿宋"/>
          <w:b/>
          <w:color w:val="000000"/>
          <w:spacing w:val="-8"/>
          <w:sz w:val="28"/>
          <w:szCs w:val="28"/>
          <w:lang w:val="en-US" w:eastAsia="zh-CN"/>
        </w:rPr>
        <w:t>五、经费支持</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color w:val="000000"/>
          <w:spacing w:val="-8"/>
          <w:sz w:val="28"/>
          <w:szCs w:val="28"/>
          <w:lang w:val="en-US" w:eastAsia="zh-CN"/>
        </w:rPr>
      </w:pPr>
      <w:r>
        <w:rPr>
          <w:rFonts w:hint="eastAsia" w:ascii="仿宋" w:hAnsi="仿宋" w:eastAsia="仿宋" w:cs="仿宋"/>
          <w:color w:val="000000"/>
          <w:spacing w:val="-8"/>
          <w:sz w:val="28"/>
          <w:szCs w:val="28"/>
          <w:lang w:val="en-US" w:eastAsia="zh-CN"/>
        </w:rPr>
        <w:t>学校对课程思政“课程链”建设给予专项经费支持，</w:t>
      </w:r>
      <w:r>
        <w:rPr>
          <w:rFonts w:hint="eastAsia" w:ascii="仿宋" w:hAnsi="仿宋" w:eastAsia="仿宋" w:cs="仿宋"/>
          <w:b/>
          <w:bCs/>
          <w:color w:val="000000"/>
          <w:spacing w:val="-8"/>
          <w:sz w:val="28"/>
          <w:szCs w:val="28"/>
          <w:lang w:val="en-US" w:eastAsia="zh-CN"/>
        </w:rPr>
        <w:t>拨付建设经费10万元/单位</w:t>
      </w:r>
      <w:r>
        <w:rPr>
          <w:rFonts w:hint="eastAsia" w:ascii="仿宋" w:hAnsi="仿宋" w:eastAsia="仿宋" w:cs="仿宋"/>
          <w:color w:val="000000"/>
          <w:spacing w:val="-8"/>
          <w:sz w:val="28"/>
          <w:szCs w:val="28"/>
          <w:lang w:val="en-US" w:eastAsia="zh-CN"/>
        </w:rPr>
        <w:t>。</w:t>
      </w: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仿宋"/>
          <w:color w:val="000000"/>
          <w:spacing w:val="-8"/>
          <w:sz w:val="28"/>
          <w:szCs w:val="28"/>
          <w:lang w:val="en-US" w:eastAsia="zh-CN"/>
        </w:rPr>
      </w:pPr>
      <w:r>
        <w:rPr>
          <w:rFonts w:hint="eastAsia" w:ascii="仿宋" w:hAnsi="仿宋" w:eastAsia="仿宋" w:cs="仿宋"/>
          <w:color w:val="000000"/>
          <w:spacing w:val="-8"/>
          <w:sz w:val="28"/>
          <w:szCs w:val="28"/>
          <w:lang w:val="en-US" w:eastAsia="zh-CN"/>
        </w:rPr>
        <w:t>在“课程链”建设经费基础上，</w:t>
      </w:r>
      <w:r>
        <w:rPr>
          <w:rFonts w:hint="eastAsia" w:ascii="仿宋" w:hAnsi="仿宋" w:eastAsia="仿宋" w:cs="仿宋"/>
          <w:b/>
          <w:bCs/>
          <w:color w:val="000000"/>
          <w:spacing w:val="-8"/>
          <w:sz w:val="28"/>
          <w:szCs w:val="28"/>
          <w:lang w:val="en-US" w:eastAsia="zh-CN"/>
        </w:rPr>
        <w:t>学校对领航学院追加建设经费10万元/单位，共拨付建设经费20万元/单位</w:t>
      </w:r>
      <w:r>
        <w:rPr>
          <w:rFonts w:hint="eastAsia" w:ascii="仿宋" w:hAnsi="仿宋" w:eastAsia="仿宋" w:cs="仿宋"/>
          <w:color w:val="000000"/>
          <w:spacing w:val="-8"/>
          <w:sz w:val="28"/>
          <w:szCs w:val="28"/>
          <w:lang w:val="en-US" w:eastAsia="zh-CN"/>
        </w:rPr>
        <w:t>。</w:t>
      </w:r>
    </w:p>
    <w:p>
      <w:pPr>
        <w:keepNext w:val="0"/>
        <w:keepLines w:val="0"/>
        <w:pageBreakBefore w:val="0"/>
        <w:widowControl/>
        <w:kinsoku/>
        <w:wordWrap/>
        <w:overflowPunct/>
        <w:topLinePunct w:val="0"/>
        <w:autoSpaceDE/>
        <w:autoSpaceDN/>
        <w:bidi w:val="0"/>
        <w:adjustRightInd/>
        <w:snapToGrid/>
        <w:spacing w:line="540" w:lineRule="exact"/>
        <w:ind w:firstLine="528" w:firstLineChars="200"/>
        <w:textAlignment w:val="auto"/>
        <w:rPr>
          <w:rFonts w:hint="eastAsia" w:ascii="仿宋" w:hAnsi="仿宋" w:eastAsia="仿宋" w:cs="仿宋"/>
          <w:color w:val="000000"/>
          <w:spacing w:val="-8"/>
          <w:sz w:val="28"/>
          <w:szCs w:val="28"/>
        </w:rPr>
      </w:pPr>
      <w:r>
        <w:rPr>
          <w:rFonts w:hint="eastAsia" w:ascii="仿宋" w:hAnsi="仿宋" w:eastAsia="仿宋" w:cs="仿宋"/>
          <w:color w:val="000000"/>
          <w:spacing w:val="-8"/>
          <w:sz w:val="28"/>
          <w:szCs w:val="28"/>
        </w:rPr>
        <w:t>“</w:t>
      </w:r>
      <w:r>
        <w:rPr>
          <w:rFonts w:hint="eastAsia" w:ascii="仿宋" w:hAnsi="仿宋" w:eastAsia="仿宋" w:cs="仿宋"/>
          <w:b/>
          <w:bCs/>
          <w:color w:val="000000"/>
          <w:spacing w:val="-8"/>
          <w:sz w:val="28"/>
          <w:szCs w:val="28"/>
        </w:rPr>
        <w:t>课程链”</w:t>
      </w:r>
      <w:r>
        <w:rPr>
          <w:rFonts w:hint="eastAsia" w:ascii="仿宋" w:hAnsi="仿宋" w:eastAsia="仿宋" w:cs="仿宋"/>
          <w:b/>
          <w:bCs/>
          <w:color w:val="000000"/>
          <w:spacing w:val="-8"/>
          <w:sz w:val="28"/>
          <w:szCs w:val="28"/>
          <w:lang w:eastAsia="zh-CN"/>
        </w:rPr>
        <w:t>内</w:t>
      </w:r>
      <w:r>
        <w:rPr>
          <w:rFonts w:hint="eastAsia" w:ascii="仿宋" w:hAnsi="仿宋" w:eastAsia="仿宋" w:cs="仿宋"/>
          <w:b/>
          <w:bCs/>
          <w:color w:val="000000"/>
          <w:spacing w:val="-8"/>
          <w:sz w:val="28"/>
          <w:szCs w:val="28"/>
        </w:rPr>
        <w:t>包含的课程纳入2019年本科教学建设项目校级“课程思政专项”建设，课程建设经费另行资助</w:t>
      </w:r>
      <w:r>
        <w:rPr>
          <w:rFonts w:hint="eastAsia" w:ascii="仿宋" w:hAnsi="仿宋" w:eastAsia="仿宋" w:cs="仿宋"/>
          <w:color w:val="000000"/>
          <w:spacing w:val="-8"/>
          <w:sz w:val="28"/>
          <w:szCs w:val="28"/>
        </w:rPr>
        <w:t>，往年已立项“课程思政专项”不重复立项、重复资助。</w:t>
      </w:r>
    </w:p>
    <w:p>
      <w:pPr>
        <w:keepNext w:val="0"/>
        <w:keepLines w:val="0"/>
        <w:pageBreakBefore w:val="0"/>
        <w:widowControl/>
        <w:kinsoku/>
        <w:wordWrap/>
        <w:overflowPunct/>
        <w:topLinePunct w:val="0"/>
        <w:autoSpaceDE/>
        <w:autoSpaceDN/>
        <w:bidi w:val="0"/>
        <w:adjustRightInd/>
        <w:snapToGrid/>
        <w:spacing w:line="540" w:lineRule="exact"/>
        <w:ind w:firstLine="530" w:firstLineChars="200"/>
        <w:textAlignment w:val="auto"/>
        <w:rPr>
          <w:rFonts w:hint="eastAsia" w:ascii="仿宋" w:hAnsi="仿宋" w:eastAsia="仿宋" w:cs="仿宋"/>
          <w:color w:val="000000"/>
          <w:spacing w:val="-8"/>
          <w:sz w:val="28"/>
          <w:szCs w:val="28"/>
          <w:lang w:eastAsia="zh-CN"/>
        </w:rPr>
      </w:pPr>
      <w:r>
        <w:rPr>
          <w:rFonts w:hint="eastAsia" w:ascii="仿宋" w:hAnsi="仿宋" w:eastAsia="仿宋" w:cs="仿宋"/>
          <w:b/>
          <w:bCs/>
          <w:color w:val="000000"/>
          <w:spacing w:val="-8"/>
          <w:sz w:val="28"/>
          <w:szCs w:val="28"/>
          <w:lang w:eastAsia="zh-CN"/>
        </w:rPr>
        <w:t>领航学院“精品改革领航课程”纳入2019年本科教学建设项目校级精品“课程思政专项”建设，课程建设经费另行资助</w:t>
      </w:r>
      <w:r>
        <w:rPr>
          <w:rFonts w:hint="eastAsia" w:ascii="仿宋" w:hAnsi="仿宋" w:eastAsia="仿宋" w:cs="仿宋"/>
          <w:color w:val="000000"/>
          <w:spacing w:val="-8"/>
          <w:sz w:val="28"/>
          <w:szCs w:val="28"/>
          <w:lang w:eastAsia="zh-CN"/>
        </w:rPr>
        <w:t>，往年已立项“课程思政专项”不重复立项、重复资助。</w:t>
      </w:r>
    </w:p>
    <w:p>
      <w:pPr>
        <w:keepNext w:val="0"/>
        <w:keepLines w:val="0"/>
        <w:pageBreakBefore w:val="0"/>
        <w:widowControl/>
        <w:kinsoku/>
        <w:wordWrap/>
        <w:overflowPunct/>
        <w:topLinePunct w:val="0"/>
        <w:autoSpaceDE/>
        <w:autoSpaceDN/>
        <w:bidi w:val="0"/>
        <w:adjustRightInd/>
        <w:snapToGrid/>
        <w:spacing w:before="312" w:beforeLines="100" w:after="312" w:afterLines="100" w:line="540" w:lineRule="exact"/>
        <w:textAlignment w:val="auto"/>
        <w:rPr>
          <w:rFonts w:hint="eastAsia" w:ascii="仿宋" w:hAnsi="仿宋" w:eastAsia="仿宋" w:cs="仿宋"/>
          <w:b/>
          <w:color w:val="000000"/>
          <w:spacing w:val="-8"/>
          <w:sz w:val="28"/>
          <w:szCs w:val="28"/>
          <w:lang w:val="en-US" w:eastAsia="zh-CN"/>
        </w:rPr>
      </w:pPr>
      <w:r>
        <w:rPr>
          <w:rFonts w:hint="eastAsia" w:ascii="仿宋" w:hAnsi="仿宋" w:eastAsia="仿宋" w:cs="仿宋"/>
          <w:b/>
          <w:color w:val="000000"/>
          <w:spacing w:val="-8"/>
          <w:sz w:val="28"/>
          <w:szCs w:val="28"/>
          <w:lang w:val="en-US" w:eastAsia="zh-CN"/>
        </w:rPr>
        <w:t>六、材料提交</w:t>
      </w:r>
    </w:p>
    <w:p>
      <w:pPr>
        <w:keepNext w:val="0"/>
        <w:keepLines w:val="0"/>
        <w:pageBreakBefore w:val="0"/>
        <w:widowControl/>
        <w:kinsoku/>
        <w:wordWrap/>
        <w:overflowPunct/>
        <w:topLinePunct w:val="0"/>
        <w:autoSpaceDE/>
        <w:autoSpaceDN/>
        <w:bidi w:val="0"/>
        <w:adjustRightInd/>
        <w:snapToGrid/>
        <w:spacing w:line="540" w:lineRule="exact"/>
        <w:ind w:firstLine="480"/>
        <w:textAlignment w:val="auto"/>
        <w:rPr>
          <w:rFonts w:hint="eastAsia" w:ascii="仿宋" w:hAnsi="仿宋" w:eastAsia="仿宋" w:cs="仿宋"/>
          <w:sz w:val="28"/>
          <w:szCs w:val="28"/>
        </w:rPr>
      </w:pPr>
      <w:r>
        <w:rPr>
          <w:rFonts w:hint="eastAsia" w:ascii="仿宋" w:hAnsi="仿宋" w:eastAsia="仿宋" w:cs="仿宋"/>
          <w:b/>
          <w:sz w:val="28"/>
          <w:szCs w:val="28"/>
        </w:rPr>
        <w:t>各本科人才培养单位通过组织项目申报、评审、论证及公示，确定自主立项课程思政“课程链”及建设规划，报送至教务处</w:t>
      </w:r>
      <w:r>
        <w:rPr>
          <w:rFonts w:hint="eastAsia" w:ascii="仿宋" w:hAnsi="仿宋" w:eastAsia="仿宋" w:cs="仿宋"/>
          <w:sz w:val="28"/>
          <w:szCs w:val="28"/>
        </w:rPr>
        <w:t>。各本科人才培养单位要充分发挥在课程思政“课程链”建设中规划、建设、管理和实施中的主体作用，确保建设进度以及预期建设目标的达成。</w:t>
      </w:r>
    </w:p>
    <w:p>
      <w:pPr>
        <w:keepNext w:val="0"/>
        <w:keepLines w:val="0"/>
        <w:pageBreakBefore w:val="0"/>
        <w:widowControl/>
        <w:kinsoku/>
        <w:wordWrap/>
        <w:overflowPunct/>
        <w:topLinePunct w:val="0"/>
        <w:autoSpaceDE/>
        <w:autoSpaceDN/>
        <w:bidi w:val="0"/>
        <w:adjustRightInd/>
        <w:snapToGrid/>
        <w:spacing w:line="540" w:lineRule="exact"/>
        <w:ind w:firstLine="480"/>
        <w:textAlignment w:val="auto"/>
        <w:rPr>
          <w:rFonts w:hint="eastAsia" w:ascii="仿宋" w:hAnsi="仿宋" w:eastAsia="仿宋" w:cs="仿宋"/>
          <w:sz w:val="28"/>
          <w:szCs w:val="28"/>
          <w:u w:val="none"/>
        </w:rPr>
      </w:pPr>
      <w:r>
        <w:rPr>
          <w:rFonts w:hint="eastAsia" w:ascii="仿宋" w:hAnsi="仿宋" w:eastAsia="仿宋" w:cs="仿宋"/>
          <w:sz w:val="28"/>
          <w:szCs w:val="28"/>
        </w:rPr>
        <w:t>请各本科人才培养单位认真组织开展项目申报和遴选工作，填写《上海外国语大学2019年度课程思政“课程链”项目申报汇总表》（附件2）、《上海外国语大学2019年度课程思政“课程链”项目申报书》（附件3），</w:t>
      </w:r>
      <w:r>
        <w:rPr>
          <w:rFonts w:hint="eastAsia" w:ascii="仿宋" w:hAnsi="仿宋" w:eastAsia="仿宋" w:cs="仿宋"/>
          <w:b/>
          <w:bCs/>
          <w:sz w:val="28"/>
          <w:szCs w:val="28"/>
          <w:u w:val="none"/>
        </w:rPr>
        <w:t>于2019年12月20日前（须已完成单位内公示并无异议）将</w:t>
      </w:r>
      <w:r>
        <w:rPr>
          <w:rFonts w:hint="eastAsia" w:ascii="仿宋" w:hAnsi="仿宋" w:eastAsia="仿宋" w:cs="仿宋"/>
          <w:b/>
          <w:bCs/>
          <w:sz w:val="28"/>
          <w:szCs w:val="28"/>
          <w:u w:val="none"/>
          <w:lang w:eastAsia="zh-CN"/>
        </w:rPr>
        <w:t>申报</w:t>
      </w:r>
      <w:r>
        <w:rPr>
          <w:rFonts w:hint="eastAsia" w:ascii="仿宋" w:hAnsi="仿宋" w:eastAsia="仿宋" w:cs="仿宋"/>
          <w:b/>
          <w:bCs/>
          <w:sz w:val="28"/>
          <w:szCs w:val="28"/>
          <w:u w:val="none"/>
        </w:rPr>
        <w:t>材料电子版发至联系邮箱，纸质版经本单位课程思政“课程链”项目总负责人签名，加盖单位公章后，报</w:t>
      </w:r>
      <w:r>
        <w:rPr>
          <w:rFonts w:hint="eastAsia" w:ascii="仿宋" w:hAnsi="仿宋" w:eastAsia="仿宋" w:cs="仿宋"/>
          <w:b/>
          <w:bCs/>
          <w:sz w:val="28"/>
          <w:szCs w:val="28"/>
          <w:u w:val="none"/>
          <w:lang w:eastAsia="zh-CN"/>
        </w:rPr>
        <w:t>至</w:t>
      </w:r>
      <w:r>
        <w:rPr>
          <w:rFonts w:hint="eastAsia" w:ascii="仿宋" w:hAnsi="仿宋" w:eastAsia="仿宋" w:cs="仿宋"/>
          <w:b/>
          <w:bCs/>
          <w:sz w:val="28"/>
          <w:szCs w:val="28"/>
          <w:u w:val="none"/>
        </w:rPr>
        <w:t>教务处教学科</w:t>
      </w:r>
      <w:r>
        <w:rPr>
          <w:rFonts w:hint="eastAsia" w:ascii="仿宋" w:hAnsi="仿宋" w:eastAsia="仿宋" w:cs="仿宋"/>
          <w:sz w:val="28"/>
          <w:szCs w:val="28"/>
          <w:u w:val="none"/>
        </w:rPr>
        <w:t>。</w:t>
      </w:r>
    </w:p>
    <w:p>
      <w:pPr>
        <w:keepNext w:val="0"/>
        <w:keepLines w:val="0"/>
        <w:pageBreakBefore w:val="0"/>
        <w:widowControl/>
        <w:kinsoku/>
        <w:wordWrap/>
        <w:overflowPunct/>
        <w:topLinePunct w:val="0"/>
        <w:autoSpaceDE/>
        <w:autoSpaceDN/>
        <w:bidi w:val="0"/>
        <w:adjustRightInd/>
        <w:snapToGrid/>
        <w:spacing w:line="540" w:lineRule="exact"/>
        <w:ind w:firstLine="480"/>
        <w:textAlignment w:val="auto"/>
        <w:rPr>
          <w:rFonts w:hint="eastAsia" w:ascii="仿宋" w:hAnsi="仿宋" w:eastAsia="仿宋" w:cs="仿宋"/>
          <w:sz w:val="28"/>
          <w:szCs w:val="28"/>
          <w:u w:val="none"/>
        </w:rPr>
      </w:pPr>
    </w:p>
    <w:p>
      <w:pPr>
        <w:keepNext w:val="0"/>
        <w:keepLines w:val="0"/>
        <w:pageBreakBefore w:val="0"/>
        <w:widowControl/>
        <w:kinsoku/>
        <w:wordWrap/>
        <w:overflowPunct/>
        <w:topLinePunct w:val="0"/>
        <w:autoSpaceDE/>
        <w:autoSpaceDN/>
        <w:bidi w:val="0"/>
        <w:adjustRightInd/>
        <w:snapToGrid/>
        <w:spacing w:line="54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rPr>
        <w:t>联 系 人：刘思诗、孔祥博</w:t>
      </w:r>
    </w:p>
    <w:p>
      <w:pPr>
        <w:keepNext w:val="0"/>
        <w:keepLines w:val="0"/>
        <w:pageBreakBefore w:val="0"/>
        <w:widowControl/>
        <w:kinsoku/>
        <w:wordWrap/>
        <w:overflowPunct/>
        <w:topLinePunct w:val="0"/>
        <w:autoSpaceDE/>
        <w:autoSpaceDN/>
        <w:bidi w:val="0"/>
        <w:adjustRightInd/>
        <w:snapToGrid/>
        <w:spacing w:line="54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rPr>
        <w:t>联系电话：67701028（松江）/35372428（虹口）</w:t>
      </w:r>
    </w:p>
    <w:p>
      <w:pPr>
        <w:keepNext w:val="0"/>
        <w:keepLines w:val="0"/>
        <w:pageBreakBefore w:val="0"/>
        <w:widowControl/>
        <w:kinsoku/>
        <w:wordWrap/>
        <w:overflowPunct/>
        <w:topLinePunct w:val="0"/>
        <w:autoSpaceDE/>
        <w:autoSpaceDN/>
        <w:bidi w:val="0"/>
        <w:adjustRightInd/>
        <w:snapToGrid/>
        <w:spacing w:line="54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rPr>
        <w:t>联系地址：松江校区行政楼203室/虹口校区行政楼207室</w:t>
      </w:r>
    </w:p>
    <w:p>
      <w:pPr>
        <w:keepNext w:val="0"/>
        <w:keepLines w:val="0"/>
        <w:pageBreakBefore w:val="0"/>
        <w:widowControl/>
        <w:kinsoku/>
        <w:wordWrap/>
        <w:overflowPunct/>
        <w:topLinePunct w:val="0"/>
        <w:autoSpaceDE/>
        <w:autoSpaceDN/>
        <w:bidi w:val="0"/>
        <w:adjustRightInd/>
        <w:snapToGrid/>
        <w:spacing w:line="54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rPr>
        <w:t>联系邮箱：</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"mailto:jiaoxueke@shisu.edu.cn" \t "http://www.newoaa.shisu.edu.cn/b8/3a/c6646a112698/_blank" </w:instrText>
      </w:r>
      <w:r>
        <w:rPr>
          <w:rFonts w:hint="eastAsia" w:ascii="仿宋" w:hAnsi="仿宋" w:eastAsia="仿宋" w:cs="仿宋"/>
          <w:sz w:val="28"/>
          <w:szCs w:val="28"/>
        </w:rPr>
        <w:fldChar w:fldCharType="separate"/>
      </w:r>
      <w:r>
        <w:rPr>
          <w:rFonts w:hint="eastAsia" w:ascii="仿宋" w:hAnsi="仿宋" w:eastAsia="仿宋" w:cs="仿宋"/>
          <w:sz w:val="28"/>
          <w:szCs w:val="28"/>
        </w:rPr>
        <w:t>jiaoxueke@shisu.edu.cn</w:t>
      </w:r>
      <w:r>
        <w:rPr>
          <w:rFonts w:hint="eastAsia" w:ascii="仿宋" w:hAnsi="仿宋" w:eastAsia="仿宋" w:cs="仿宋"/>
          <w:sz w:val="28"/>
          <w:szCs w:val="28"/>
        </w:rPr>
        <w:fldChar w:fldCharType="end"/>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楷体" w:hAnsi="楷体" w:eastAsia="楷体" w:cs="楷体"/>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附件：</w:t>
      </w: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上海外国语大学关于课程思政“课程链”建设的实施意见</w:t>
      </w: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上海外国语大学2019年度课程思政“课程链”项目申报汇总表</w:t>
      </w: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上海外国语大学2019年度课程思政“课程链”项目申报书</w:t>
      </w: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上海外国语大学本科课程建设管理办法</w:t>
      </w: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5.关于实施2019年“上海高校课程思政领航计划”的通知</w:t>
      </w:r>
    </w:p>
    <w:p>
      <w:pPr>
        <w:keepNext w:val="0"/>
        <w:keepLines w:val="0"/>
        <w:pageBreakBefore w:val="0"/>
        <w:widowControl/>
        <w:kinsoku/>
        <w:wordWrap/>
        <w:overflowPunct/>
        <w:topLinePunct w:val="0"/>
        <w:autoSpaceDE/>
        <w:autoSpaceDN/>
        <w:bidi w:val="0"/>
        <w:adjustRightInd/>
        <w:snapToGrid/>
        <w:spacing w:line="540" w:lineRule="exact"/>
        <w:textAlignment w:val="auto"/>
        <w:rPr>
          <w:rFonts w:cs="宋体" w:asciiTheme="minorEastAsia" w:hAnsiTheme="minorEastAsia"/>
          <w:bCs/>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cs="宋体" w:asciiTheme="minorEastAsia" w:hAnsiTheme="minorEastAsia"/>
          <w:bCs/>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仿宋"/>
          <w:sz w:val="28"/>
          <w:szCs w:val="28"/>
          <w:lang w:eastAsia="zh-CN"/>
        </w:rPr>
      </w:pPr>
      <w:r>
        <w:rPr>
          <w:rFonts w:hint="eastAsia" w:cs="宋体" w:asciiTheme="minorEastAsia" w:hAnsiTheme="minorEastAsia"/>
        </w:rPr>
        <w:t xml:space="preserve">                                                  </w:t>
      </w:r>
      <w:r>
        <w:rPr>
          <w:rFonts w:hint="eastAsia" w:ascii="仿宋" w:hAnsi="仿宋" w:eastAsia="仿宋" w:cs="仿宋"/>
          <w:sz w:val="28"/>
          <w:szCs w:val="28"/>
          <w:lang w:eastAsia="zh-CN"/>
        </w:rPr>
        <w:t>教 务 处</w:t>
      </w:r>
    </w:p>
    <w:p>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2019年12月</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28D"/>
    <w:rsid w:val="00011371"/>
    <w:rsid w:val="00027003"/>
    <w:rsid w:val="00046C28"/>
    <w:rsid w:val="0006361A"/>
    <w:rsid w:val="00080CBB"/>
    <w:rsid w:val="00096FD9"/>
    <w:rsid w:val="000A13E6"/>
    <w:rsid w:val="000C2FCE"/>
    <w:rsid w:val="000D251F"/>
    <w:rsid w:val="000E0983"/>
    <w:rsid w:val="000E19C1"/>
    <w:rsid w:val="000E3A45"/>
    <w:rsid w:val="000F50C9"/>
    <w:rsid w:val="00146FFA"/>
    <w:rsid w:val="00151F58"/>
    <w:rsid w:val="00152276"/>
    <w:rsid w:val="001523B3"/>
    <w:rsid w:val="001626B5"/>
    <w:rsid w:val="00170219"/>
    <w:rsid w:val="00172A27"/>
    <w:rsid w:val="00174238"/>
    <w:rsid w:val="00175E46"/>
    <w:rsid w:val="001776E2"/>
    <w:rsid w:val="00184FDE"/>
    <w:rsid w:val="00193CC9"/>
    <w:rsid w:val="00194BDC"/>
    <w:rsid w:val="001A0746"/>
    <w:rsid w:val="001A3432"/>
    <w:rsid w:val="001A34C5"/>
    <w:rsid w:val="001B390B"/>
    <w:rsid w:val="001B3D94"/>
    <w:rsid w:val="001E5B47"/>
    <w:rsid w:val="00215296"/>
    <w:rsid w:val="00217BA1"/>
    <w:rsid w:val="002247C7"/>
    <w:rsid w:val="00243095"/>
    <w:rsid w:val="00252761"/>
    <w:rsid w:val="002538B0"/>
    <w:rsid w:val="00263EF6"/>
    <w:rsid w:val="002B3130"/>
    <w:rsid w:val="002B5016"/>
    <w:rsid w:val="002C03BC"/>
    <w:rsid w:val="002C5949"/>
    <w:rsid w:val="002C64F0"/>
    <w:rsid w:val="002D4393"/>
    <w:rsid w:val="002E1C93"/>
    <w:rsid w:val="00305212"/>
    <w:rsid w:val="003431AD"/>
    <w:rsid w:val="00353F83"/>
    <w:rsid w:val="00361C4E"/>
    <w:rsid w:val="003632E9"/>
    <w:rsid w:val="00364F91"/>
    <w:rsid w:val="00390F2B"/>
    <w:rsid w:val="00397F9B"/>
    <w:rsid w:val="003B7C52"/>
    <w:rsid w:val="003D0D64"/>
    <w:rsid w:val="003E79EF"/>
    <w:rsid w:val="003F47CC"/>
    <w:rsid w:val="003F6FBC"/>
    <w:rsid w:val="003F7368"/>
    <w:rsid w:val="0040455F"/>
    <w:rsid w:val="00417BC7"/>
    <w:rsid w:val="00422890"/>
    <w:rsid w:val="00432872"/>
    <w:rsid w:val="00433909"/>
    <w:rsid w:val="00447E0C"/>
    <w:rsid w:val="00470BCD"/>
    <w:rsid w:val="00472900"/>
    <w:rsid w:val="00494F24"/>
    <w:rsid w:val="004C1919"/>
    <w:rsid w:val="004E6E5A"/>
    <w:rsid w:val="004E7C06"/>
    <w:rsid w:val="004F1083"/>
    <w:rsid w:val="005014AF"/>
    <w:rsid w:val="00506DCE"/>
    <w:rsid w:val="00544871"/>
    <w:rsid w:val="00553B91"/>
    <w:rsid w:val="00556288"/>
    <w:rsid w:val="00567C5A"/>
    <w:rsid w:val="00582F67"/>
    <w:rsid w:val="005A4557"/>
    <w:rsid w:val="005B27F9"/>
    <w:rsid w:val="005B3D0B"/>
    <w:rsid w:val="005C3378"/>
    <w:rsid w:val="005E05BE"/>
    <w:rsid w:val="005E1CD2"/>
    <w:rsid w:val="005F35A5"/>
    <w:rsid w:val="00603E07"/>
    <w:rsid w:val="00614802"/>
    <w:rsid w:val="00627584"/>
    <w:rsid w:val="006306B5"/>
    <w:rsid w:val="0063638E"/>
    <w:rsid w:val="0065647D"/>
    <w:rsid w:val="00670A89"/>
    <w:rsid w:val="00672B29"/>
    <w:rsid w:val="00673CDD"/>
    <w:rsid w:val="00674BFD"/>
    <w:rsid w:val="00680F5D"/>
    <w:rsid w:val="00684726"/>
    <w:rsid w:val="0068719D"/>
    <w:rsid w:val="006972A3"/>
    <w:rsid w:val="006A7B75"/>
    <w:rsid w:val="006C194D"/>
    <w:rsid w:val="006D2C08"/>
    <w:rsid w:val="006D52E1"/>
    <w:rsid w:val="006F1A74"/>
    <w:rsid w:val="006F3CAE"/>
    <w:rsid w:val="0070725F"/>
    <w:rsid w:val="00737653"/>
    <w:rsid w:val="007410F4"/>
    <w:rsid w:val="00746D5C"/>
    <w:rsid w:val="00747351"/>
    <w:rsid w:val="007646A7"/>
    <w:rsid w:val="007911A1"/>
    <w:rsid w:val="00797CE8"/>
    <w:rsid w:val="007A0FB3"/>
    <w:rsid w:val="007C2692"/>
    <w:rsid w:val="007E66C4"/>
    <w:rsid w:val="007E74E1"/>
    <w:rsid w:val="007F62FE"/>
    <w:rsid w:val="008019BB"/>
    <w:rsid w:val="0080744B"/>
    <w:rsid w:val="008124EE"/>
    <w:rsid w:val="00835791"/>
    <w:rsid w:val="00836E36"/>
    <w:rsid w:val="00853ECF"/>
    <w:rsid w:val="00856018"/>
    <w:rsid w:val="0085777A"/>
    <w:rsid w:val="00864FF6"/>
    <w:rsid w:val="008716AD"/>
    <w:rsid w:val="00877010"/>
    <w:rsid w:val="00887C12"/>
    <w:rsid w:val="00890ADD"/>
    <w:rsid w:val="00892D67"/>
    <w:rsid w:val="008A279A"/>
    <w:rsid w:val="008A2EE3"/>
    <w:rsid w:val="008A2F02"/>
    <w:rsid w:val="008B024A"/>
    <w:rsid w:val="008C7A7D"/>
    <w:rsid w:val="008D2521"/>
    <w:rsid w:val="008D280A"/>
    <w:rsid w:val="008F6EB7"/>
    <w:rsid w:val="00905762"/>
    <w:rsid w:val="00914447"/>
    <w:rsid w:val="00916671"/>
    <w:rsid w:val="009172A3"/>
    <w:rsid w:val="00924B0B"/>
    <w:rsid w:val="009260C7"/>
    <w:rsid w:val="0092716E"/>
    <w:rsid w:val="00971516"/>
    <w:rsid w:val="00973321"/>
    <w:rsid w:val="009755B6"/>
    <w:rsid w:val="009A33BF"/>
    <w:rsid w:val="009A36BD"/>
    <w:rsid w:val="009B3B9F"/>
    <w:rsid w:val="009D4F03"/>
    <w:rsid w:val="009E7D7B"/>
    <w:rsid w:val="00A021B5"/>
    <w:rsid w:val="00A026BF"/>
    <w:rsid w:val="00A049D1"/>
    <w:rsid w:val="00A0729B"/>
    <w:rsid w:val="00A07E34"/>
    <w:rsid w:val="00A120F9"/>
    <w:rsid w:val="00A166B7"/>
    <w:rsid w:val="00A1698D"/>
    <w:rsid w:val="00A26BB8"/>
    <w:rsid w:val="00A31ED2"/>
    <w:rsid w:val="00A357CE"/>
    <w:rsid w:val="00A37FA0"/>
    <w:rsid w:val="00A40557"/>
    <w:rsid w:val="00A41F7C"/>
    <w:rsid w:val="00A463FC"/>
    <w:rsid w:val="00A52733"/>
    <w:rsid w:val="00A65406"/>
    <w:rsid w:val="00A65FDB"/>
    <w:rsid w:val="00A66007"/>
    <w:rsid w:val="00A75E0F"/>
    <w:rsid w:val="00A9645A"/>
    <w:rsid w:val="00AD2EFE"/>
    <w:rsid w:val="00AE7C4C"/>
    <w:rsid w:val="00AF2931"/>
    <w:rsid w:val="00AF4466"/>
    <w:rsid w:val="00B00451"/>
    <w:rsid w:val="00B25E85"/>
    <w:rsid w:val="00B335F8"/>
    <w:rsid w:val="00B52E93"/>
    <w:rsid w:val="00B62177"/>
    <w:rsid w:val="00B62624"/>
    <w:rsid w:val="00B67861"/>
    <w:rsid w:val="00B71670"/>
    <w:rsid w:val="00B748AA"/>
    <w:rsid w:val="00B748F7"/>
    <w:rsid w:val="00B753A3"/>
    <w:rsid w:val="00BA0C1E"/>
    <w:rsid w:val="00BA34DC"/>
    <w:rsid w:val="00BA547E"/>
    <w:rsid w:val="00BA5C8D"/>
    <w:rsid w:val="00BC10D7"/>
    <w:rsid w:val="00BC7E12"/>
    <w:rsid w:val="00BD12E0"/>
    <w:rsid w:val="00BF2F41"/>
    <w:rsid w:val="00C14B17"/>
    <w:rsid w:val="00C205A7"/>
    <w:rsid w:val="00C25EA2"/>
    <w:rsid w:val="00C47DC9"/>
    <w:rsid w:val="00C47F4B"/>
    <w:rsid w:val="00C57BF1"/>
    <w:rsid w:val="00C57C31"/>
    <w:rsid w:val="00C66C25"/>
    <w:rsid w:val="00C7074B"/>
    <w:rsid w:val="00C76000"/>
    <w:rsid w:val="00C92CF9"/>
    <w:rsid w:val="00C93CE8"/>
    <w:rsid w:val="00C96076"/>
    <w:rsid w:val="00CB4AE6"/>
    <w:rsid w:val="00CB7345"/>
    <w:rsid w:val="00CB7943"/>
    <w:rsid w:val="00CC32D4"/>
    <w:rsid w:val="00CC51E9"/>
    <w:rsid w:val="00CC57A4"/>
    <w:rsid w:val="00CD0379"/>
    <w:rsid w:val="00CD260A"/>
    <w:rsid w:val="00CD6602"/>
    <w:rsid w:val="00D12EE5"/>
    <w:rsid w:val="00D1649F"/>
    <w:rsid w:val="00D23712"/>
    <w:rsid w:val="00D34E37"/>
    <w:rsid w:val="00D37437"/>
    <w:rsid w:val="00D4652A"/>
    <w:rsid w:val="00D635FD"/>
    <w:rsid w:val="00D72982"/>
    <w:rsid w:val="00D8696F"/>
    <w:rsid w:val="00D95ACE"/>
    <w:rsid w:val="00DA275C"/>
    <w:rsid w:val="00DA63A6"/>
    <w:rsid w:val="00DA6850"/>
    <w:rsid w:val="00DB7C4E"/>
    <w:rsid w:val="00DD6A77"/>
    <w:rsid w:val="00DE2B96"/>
    <w:rsid w:val="00DF0063"/>
    <w:rsid w:val="00DF503C"/>
    <w:rsid w:val="00E009C6"/>
    <w:rsid w:val="00E2793D"/>
    <w:rsid w:val="00E333DE"/>
    <w:rsid w:val="00E429CD"/>
    <w:rsid w:val="00E502FB"/>
    <w:rsid w:val="00E525C8"/>
    <w:rsid w:val="00E67607"/>
    <w:rsid w:val="00E83A05"/>
    <w:rsid w:val="00EA4DB6"/>
    <w:rsid w:val="00EA7570"/>
    <w:rsid w:val="00EB0FA2"/>
    <w:rsid w:val="00ED0860"/>
    <w:rsid w:val="00EE3AC6"/>
    <w:rsid w:val="00F020A4"/>
    <w:rsid w:val="00F02772"/>
    <w:rsid w:val="00F24615"/>
    <w:rsid w:val="00F277C5"/>
    <w:rsid w:val="00F36633"/>
    <w:rsid w:val="00F373B7"/>
    <w:rsid w:val="00F4600D"/>
    <w:rsid w:val="00F56062"/>
    <w:rsid w:val="00F6185D"/>
    <w:rsid w:val="00F85212"/>
    <w:rsid w:val="00F921A2"/>
    <w:rsid w:val="00FA38B9"/>
    <w:rsid w:val="00FA4364"/>
    <w:rsid w:val="00FA69E3"/>
    <w:rsid w:val="00FB003A"/>
    <w:rsid w:val="00FB12AD"/>
    <w:rsid w:val="00FC5681"/>
    <w:rsid w:val="00FE294A"/>
    <w:rsid w:val="010A5BA8"/>
    <w:rsid w:val="011B6A89"/>
    <w:rsid w:val="01214D37"/>
    <w:rsid w:val="01BB5CFD"/>
    <w:rsid w:val="01CD24FB"/>
    <w:rsid w:val="01DF0C7B"/>
    <w:rsid w:val="01F762E7"/>
    <w:rsid w:val="020E5123"/>
    <w:rsid w:val="023210F4"/>
    <w:rsid w:val="023302CE"/>
    <w:rsid w:val="027D777D"/>
    <w:rsid w:val="02CE15EF"/>
    <w:rsid w:val="03071935"/>
    <w:rsid w:val="031770FE"/>
    <w:rsid w:val="031C7917"/>
    <w:rsid w:val="03367471"/>
    <w:rsid w:val="03761B11"/>
    <w:rsid w:val="039C6A25"/>
    <w:rsid w:val="03E23E97"/>
    <w:rsid w:val="03F56908"/>
    <w:rsid w:val="03F6625A"/>
    <w:rsid w:val="040C253B"/>
    <w:rsid w:val="041733FA"/>
    <w:rsid w:val="04335BA0"/>
    <w:rsid w:val="049D490F"/>
    <w:rsid w:val="04AD2A7F"/>
    <w:rsid w:val="04B044EA"/>
    <w:rsid w:val="04C209A7"/>
    <w:rsid w:val="04EC55CE"/>
    <w:rsid w:val="04EF1C1D"/>
    <w:rsid w:val="059E5E95"/>
    <w:rsid w:val="05B87E88"/>
    <w:rsid w:val="05DB3C7A"/>
    <w:rsid w:val="05DC4D5F"/>
    <w:rsid w:val="05E55BFB"/>
    <w:rsid w:val="05F02FC4"/>
    <w:rsid w:val="05FE0F98"/>
    <w:rsid w:val="06382C61"/>
    <w:rsid w:val="06DA66C1"/>
    <w:rsid w:val="07097519"/>
    <w:rsid w:val="074053C8"/>
    <w:rsid w:val="078019BA"/>
    <w:rsid w:val="079C021B"/>
    <w:rsid w:val="07C425DC"/>
    <w:rsid w:val="07EB323B"/>
    <w:rsid w:val="083C7753"/>
    <w:rsid w:val="08476B98"/>
    <w:rsid w:val="08551AA8"/>
    <w:rsid w:val="088D08B1"/>
    <w:rsid w:val="08A62741"/>
    <w:rsid w:val="08EC468A"/>
    <w:rsid w:val="090360FA"/>
    <w:rsid w:val="0951640F"/>
    <w:rsid w:val="096A5D28"/>
    <w:rsid w:val="09D3474E"/>
    <w:rsid w:val="0A0E6175"/>
    <w:rsid w:val="0A421267"/>
    <w:rsid w:val="0A7E708D"/>
    <w:rsid w:val="0A860376"/>
    <w:rsid w:val="0A88221F"/>
    <w:rsid w:val="0AB507FD"/>
    <w:rsid w:val="0AF1624F"/>
    <w:rsid w:val="0B28654F"/>
    <w:rsid w:val="0B2A1BCA"/>
    <w:rsid w:val="0B770D07"/>
    <w:rsid w:val="0B8D2A0D"/>
    <w:rsid w:val="0BC00590"/>
    <w:rsid w:val="0BE6776C"/>
    <w:rsid w:val="0C0738C4"/>
    <w:rsid w:val="0C276E32"/>
    <w:rsid w:val="0C3767B7"/>
    <w:rsid w:val="0C6E514A"/>
    <w:rsid w:val="0C6F7B8D"/>
    <w:rsid w:val="0C80537E"/>
    <w:rsid w:val="0CBC07B0"/>
    <w:rsid w:val="0CD31552"/>
    <w:rsid w:val="0D8C39CA"/>
    <w:rsid w:val="0DF03058"/>
    <w:rsid w:val="0E3F61CF"/>
    <w:rsid w:val="0E501564"/>
    <w:rsid w:val="0E8960F1"/>
    <w:rsid w:val="0E8C6117"/>
    <w:rsid w:val="0E8E710B"/>
    <w:rsid w:val="0EB40FA5"/>
    <w:rsid w:val="0EDB79B7"/>
    <w:rsid w:val="0EE04144"/>
    <w:rsid w:val="0EEF1525"/>
    <w:rsid w:val="0F030EBB"/>
    <w:rsid w:val="0F21674E"/>
    <w:rsid w:val="0F290CFA"/>
    <w:rsid w:val="0F6133DD"/>
    <w:rsid w:val="0FCA02B2"/>
    <w:rsid w:val="0FD57F8F"/>
    <w:rsid w:val="10A0779E"/>
    <w:rsid w:val="10C1029F"/>
    <w:rsid w:val="11777FD2"/>
    <w:rsid w:val="11786D63"/>
    <w:rsid w:val="12081571"/>
    <w:rsid w:val="12081741"/>
    <w:rsid w:val="122026C2"/>
    <w:rsid w:val="125C6B96"/>
    <w:rsid w:val="126B1D55"/>
    <w:rsid w:val="12CB1EA1"/>
    <w:rsid w:val="12CB7A03"/>
    <w:rsid w:val="12CF3275"/>
    <w:rsid w:val="132E5D81"/>
    <w:rsid w:val="134815BA"/>
    <w:rsid w:val="134C20B5"/>
    <w:rsid w:val="13543ECB"/>
    <w:rsid w:val="135F52F9"/>
    <w:rsid w:val="139B1331"/>
    <w:rsid w:val="13AD3EBB"/>
    <w:rsid w:val="13B472B4"/>
    <w:rsid w:val="13DF246F"/>
    <w:rsid w:val="13E02C40"/>
    <w:rsid w:val="13EE61BF"/>
    <w:rsid w:val="142669A2"/>
    <w:rsid w:val="147D0377"/>
    <w:rsid w:val="14AB69C3"/>
    <w:rsid w:val="14CD406D"/>
    <w:rsid w:val="14F91CF1"/>
    <w:rsid w:val="15363706"/>
    <w:rsid w:val="15737AA2"/>
    <w:rsid w:val="157C063D"/>
    <w:rsid w:val="158245B5"/>
    <w:rsid w:val="15A63E93"/>
    <w:rsid w:val="15AF1DA1"/>
    <w:rsid w:val="15FB2D13"/>
    <w:rsid w:val="16217179"/>
    <w:rsid w:val="16BA1538"/>
    <w:rsid w:val="16F208A7"/>
    <w:rsid w:val="1705715A"/>
    <w:rsid w:val="178028DE"/>
    <w:rsid w:val="17CB3DE3"/>
    <w:rsid w:val="17D00562"/>
    <w:rsid w:val="18213C1E"/>
    <w:rsid w:val="18295153"/>
    <w:rsid w:val="18320ACD"/>
    <w:rsid w:val="183B251C"/>
    <w:rsid w:val="186609FC"/>
    <w:rsid w:val="18A10CB3"/>
    <w:rsid w:val="18CB407D"/>
    <w:rsid w:val="19293DE6"/>
    <w:rsid w:val="195D7258"/>
    <w:rsid w:val="197A455D"/>
    <w:rsid w:val="197C5EE5"/>
    <w:rsid w:val="19D6264D"/>
    <w:rsid w:val="1A186A1E"/>
    <w:rsid w:val="1A3E24D8"/>
    <w:rsid w:val="1A466A51"/>
    <w:rsid w:val="1A751E5B"/>
    <w:rsid w:val="1A9D6625"/>
    <w:rsid w:val="1ABA517D"/>
    <w:rsid w:val="1ADC059A"/>
    <w:rsid w:val="1B2B346C"/>
    <w:rsid w:val="1B33679A"/>
    <w:rsid w:val="1B3B2AA9"/>
    <w:rsid w:val="1B6C3AE7"/>
    <w:rsid w:val="1BE03E66"/>
    <w:rsid w:val="1C320934"/>
    <w:rsid w:val="1C6E6DBF"/>
    <w:rsid w:val="1C9863A0"/>
    <w:rsid w:val="1CB54B12"/>
    <w:rsid w:val="1CCE48DC"/>
    <w:rsid w:val="1CD36D6B"/>
    <w:rsid w:val="1CEA5B1B"/>
    <w:rsid w:val="1D541554"/>
    <w:rsid w:val="1D9B1C3A"/>
    <w:rsid w:val="1DE26D02"/>
    <w:rsid w:val="1E6E08B0"/>
    <w:rsid w:val="1EA1503F"/>
    <w:rsid w:val="1FB45AC6"/>
    <w:rsid w:val="1FB97E23"/>
    <w:rsid w:val="200D2593"/>
    <w:rsid w:val="20311696"/>
    <w:rsid w:val="20385228"/>
    <w:rsid w:val="206B6FA0"/>
    <w:rsid w:val="20BC75DE"/>
    <w:rsid w:val="20C25F99"/>
    <w:rsid w:val="210460F4"/>
    <w:rsid w:val="212B2AB7"/>
    <w:rsid w:val="215948B7"/>
    <w:rsid w:val="217F1EC3"/>
    <w:rsid w:val="21B04B6F"/>
    <w:rsid w:val="21D24116"/>
    <w:rsid w:val="22237DC4"/>
    <w:rsid w:val="224A3011"/>
    <w:rsid w:val="22564CC9"/>
    <w:rsid w:val="22D25A0B"/>
    <w:rsid w:val="235A3695"/>
    <w:rsid w:val="23C43474"/>
    <w:rsid w:val="23C514BA"/>
    <w:rsid w:val="24256A59"/>
    <w:rsid w:val="247A7D46"/>
    <w:rsid w:val="24A24B81"/>
    <w:rsid w:val="25116E35"/>
    <w:rsid w:val="257E342C"/>
    <w:rsid w:val="25994993"/>
    <w:rsid w:val="25B529AF"/>
    <w:rsid w:val="25D127E3"/>
    <w:rsid w:val="25D1735A"/>
    <w:rsid w:val="26C20D86"/>
    <w:rsid w:val="26CD2D76"/>
    <w:rsid w:val="26DF7978"/>
    <w:rsid w:val="27FB7E16"/>
    <w:rsid w:val="28606C49"/>
    <w:rsid w:val="287C00DF"/>
    <w:rsid w:val="28805542"/>
    <w:rsid w:val="28962316"/>
    <w:rsid w:val="29434F0B"/>
    <w:rsid w:val="29821231"/>
    <w:rsid w:val="298774A6"/>
    <w:rsid w:val="29A56DEE"/>
    <w:rsid w:val="29A86274"/>
    <w:rsid w:val="29EB011A"/>
    <w:rsid w:val="29EB0EF1"/>
    <w:rsid w:val="29ED0ABC"/>
    <w:rsid w:val="2A06053F"/>
    <w:rsid w:val="2A4236D9"/>
    <w:rsid w:val="2AC97547"/>
    <w:rsid w:val="2ADC6CCC"/>
    <w:rsid w:val="2AEE2656"/>
    <w:rsid w:val="2B077421"/>
    <w:rsid w:val="2B7A00D4"/>
    <w:rsid w:val="2B9129C3"/>
    <w:rsid w:val="2B965C78"/>
    <w:rsid w:val="2BA108DC"/>
    <w:rsid w:val="2BAC2F5C"/>
    <w:rsid w:val="2BB505AA"/>
    <w:rsid w:val="2C032E98"/>
    <w:rsid w:val="2C23474D"/>
    <w:rsid w:val="2CA50914"/>
    <w:rsid w:val="2D1A4B01"/>
    <w:rsid w:val="2D36581E"/>
    <w:rsid w:val="2D4E1EF8"/>
    <w:rsid w:val="2D58258D"/>
    <w:rsid w:val="2D726F2C"/>
    <w:rsid w:val="2DA557E3"/>
    <w:rsid w:val="2DAD621C"/>
    <w:rsid w:val="2DE53895"/>
    <w:rsid w:val="2DEE4A9F"/>
    <w:rsid w:val="2E0E0E8A"/>
    <w:rsid w:val="2E442341"/>
    <w:rsid w:val="2E7D2594"/>
    <w:rsid w:val="2E993F5C"/>
    <w:rsid w:val="2ED141A9"/>
    <w:rsid w:val="2ED56CC5"/>
    <w:rsid w:val="2EF2004A"/>
    <w:rsid w:val="2F730C05"/>
    <w:rsid w:val="2FFC5A00"/>
    <w:rsid w:val="302A6E45"/>
    <w:rsid w:val="302F7AFA"/>
    <w:rsid w:val="30565235"/>
    <w:rsid w:val="30810A46"/>
    <w:rsid w:val="30D57DAF"/>
    <w:rsid w:val="30EC0855"/>
    <w:rsid w:val="312A517C"/>
    <w:rsid w:val="316C7402"/>
    <w:rsid w:val="317A1CFC"/>
    <w:rsid w:val="320219B5"/>
    <w:rsid w:val="32120C99"/>
    <w:rsid w:val="3213382C"/>
    <w:rsid w:val="32203942"/>
    <w:rsid w:val="32626BCC"/>
    <w:rsid w:val="327D743E"/>
    <w:rsid w:val="32F25F7F"/>
    <w:rsid w:val="33040376"/>
    <w:rsid w:val="3330747C"/>
    <w:rsid w:val="333A3157"/>
    <w:rsid w:val="334A4F66"/>
    <w:rsid w:val="3391204B"/>
    <w:rsid w:val="339E5555"/>
    <w:rsid w:val="339F470D"/>
    <w:rsid w:val="33EA18B3"/>
    <w:rsid w:val="340107E5"/>
    <w:rsid w:val="344F39B3"/>
    <w:rsid w:val="34711E5E"/>
    <w:rsid w:val="348D07A9"/>
    <w:rsid w:val="34D737ED"/>
    <w:rsid w:val="35151AD7"/>
    <w:rsid w:val="35297C57"/>
    <w:rsid w:val="352B3592"/>
    <w:rsid w:val="35C92B2E"/>
    <w:rsid w:val="36551DEF"/>
    <w:rsid w:val="371601A0"/>
    <w:rsid w:val="37422940"/>
    <w:rsid w:val="37863F48"/>
    <w:rsid w:val="37B568DF"/>
    <w:rsid w:val="37BC2AF4"/>
    <w:rsid w:val="37C46223"/>
    <w:rsid w:val="37C5337E"/>
    <w:rsid w:val="37EE39C0"/>
    <w:rsid w:val="384318BF"/>
    <w:rsid w:val="384D17D8"/>
    <w:rsid w:val="386B1ECB"/>
    <w:rsid w:val="38AA68CA"/>
    <w:rsid w:val="38F619D6"/>
    <w:rsid w:val="393929B9"/>
    <w:rsid w:val="39544206"/>
    <w:rsid w:val="39970F39"/>
    <w:rsid w:val="399A5A72"/>
    <w:rsid w:val="39AF7EC5"/>
    <w:rsid w:val="39B86B88"/>
    <w:rsid w:val="3A3322A9"/>
    <w:rsid w:val="3A51226B"/>
    <w:rsid w:val="3A632DBA"/>
    <w:rsid w:val="3AE8702B"/>
    <w:rsid w:val="3B367CEC"/>
    <w:rsid w:val="3B3A42CE"/>
    <w:rsid w:val="3B6053BC"/>
    <w:rsid w:val="3B7C1374"/>
    <w:rsid w:val="3B994B03"/>
    <w:rsid w:val="3BB83330"/>
    <w:rsid w:val="3BD30DCC"/>
    <w:rsid w:val="3C041600"/>
    <w:rsid w:val="3C073B25"/>
    <w:rsid w:val="3C2A4AEF"/>
    <w:rsid w:val="3C30517E"/>
    <w:rsid w:val="3C510FDF"/>
    <w:rsid w:val="3C9A2B8E"/>
    <w:rsid w:val="3CBD35F8"/>
    <w:rsid w:val="3CFF02DD"/>
    <w:rsid w:val="3D123820"/>
    <w:rsid w:val="3E0C45DC"/>
    <w:rsid w:val="3E8B4BD7"/>
    <w:rsid w:val="3E9F5B64"/>
    <w:rsid w:val="3ECA366B"/>
    <w:rsid w:val="3FA767B5"/>
    <w:rsid w:val="3FCD1CD9"/>
    <w:rsid w:val="3FE50826"/>
    <w:rsid w:val="40116765"/>
    <w:rsid w:val="4034634B"/>
    <w:rsid w:val="40364D5E"/>
    <w:rsid w:val="406E7C5F"/>
    <w:rsid w:val="40B81576"/>
    <w:rsid w:val="410C49A1"/>
    <w:rsid w:val="410E569E"/>
    <w:rsid w:val="41965B25"/>
    <w:rsid w:val="419D24AB"/>
    <w:rsid w:val="41B722AC"/>
    <w:rsid w:val="420C2E0B"/>
    <w:rsid w:val="420D21DB"/>
    <w:rsid w:val="420D50FA"/>
    <w:rsid w:val="42176115"/>
    <w:rsid w:val="421C119B"/>
    <w:rsid w:val="421F5F55"/>
    <w:rsid w:val="424E6F4E"/>
    <w:rsid w:val="42AC4AE5"/>
    <w:rsid w:val="42B20F0B"/>
    <w:rsid w:val="42C4426E"/>
    <w:rsid w:val="42FB2C1F"/>
    <w:rsid w:val="430E4468"/>
    <w:rsid w:val="431F43ED"/>
    <w:rsid w:val="4335625A"/>
    <w:rsid w:val="439137BF"/>
    <w:rsid w:val="43BC7D62"/>
    <w:rsid w:val="43DE73E8"/>
    <w:rsid w:val="442701E6"/>
    <w:rsid w:val="44670138"/>
    <w:rsid w:val="44741AE2"/>
    <w:rsid w:val="44A40EE0"/>
    <w:rsid w:val="44F227C7"/>
    <w:rsid w:val="45206DC4"/>
    <w:rsid w:val="452F0CFA"/>
    <w:rsid w:val="45310B34"/>
    <w:rsid w:val="453814CB"/>
    <w:rsid w:val="457E1D16"/>
    <w:rsid w:val="45B77F8D"/>
    <w:rsid w:val="460C1AD8"/>
    <w:rsid w:val="46636F51"/>
    <w:rsid w:val="46D1385B"/>
    <w:rsid w:val="46EA615A"/>
    <w:rsid w:val="46ED4A98"/>
    <w:rsid w:val="46FA187E"/>
    <w:rsid w:val="471C3879"/>
    <w:rsid w:val="47313F32"/>
    <w:rsid w:val="473B720C"/>
    <w:rsid w:val="477F2741"/>
    <w:rsid w:val="47C76BB8"/>
    <w:rsid w:val="481F3858"/>
    <w:rsid w:val="487825AA"/>
    <w:rsid w:val="488F4C21"/>
    <w:rsid w:val="489402E2"/>
    <w:rsid w:val="48C021F7"/>
    <w:rsid w:val="48E04F41"/>
    <w:rsid w:val="48E26338"/>
    <w:rsid w:val="49110038"/>
    <w:rsid w:val="494017CF"/>
    <w:rsid w:val="494A5D9D"/>
    <w:rsid w:val="49BD4B13"/>
    <w:rsid w:val="49D834FF"/>
    <w:rsid w:val="49EB5BAB"/>
    <w:rsid w:val="4A14136E"/>
    <w:rsid w:val="4A230A7C"/>
    <w:rsid w:val="4A4D74D9"/>
    <w:rsid w:val="4ACE4204"/>
    <w:rsid w:val="4AE4495C"/>
    <w:rsid w:val="4B6B3DDA"/>
    <w:rsid w:val="4B862E0C"/>
    <w:rsid w:val="4BAC0F0D"/>
    <w:rsid w:val="4BD96B87"/>
    <w:rsid w:val="4BFA3393"/>
    <w:rsid w:val="4C4E11D1"/>
    <w:rsid w:val="4C594586"/>
    <w:rsid w:val="4C665328"/>
    <w:rsid w:val="4CE336AA"/>
    <w:rsid w:val="4CEB2E9A"/>
    <w:rsid w:val="4CF542D3"/>
    <w:rsid w:val="4D3032B8"/>
    <w:rsid w:val="4D631FE4"/>
    <w:rsid w:val="4DC63B25"/>
    <w:rsid w:val="4E1E2CF6"/>
    <w:rsid w:val="4E223749"/>
    <w:rsid w:val="4E4E0F7E"/>
    <w:rsid w:val="4E8A6FE4"/>
    <w:rsid w:val="4E9F2120"/>
    <w:rsid w:val="4EBA0E79"/>
    <w:rsid w:val="4EF42AEE"/>
    <w:rsid w:val="4F275F27"/>
    <w:rsid w:val="4F412F4F"/>
    <w:rsid w:val="4F743048"/>
    <w:rsid w:val="4FAD75F7"/>
    <w:rsid w:val="4FCF6C69"/>
    <w:rsid w:val="50186BD1"/>
    <w:rsid w:val="501914D7"/>
    <w:rsid w:val="507A2714"/>
    <w:rsid w:val="508571EC"/>
    <w:rsid w:val="50B16C89"/>
    <w:rsid w:val="50E96D8B"/>
    <w:rsid w:val="511460AD"/>
    <w:rsid w:val="51343066"/>
    <w:rsid w:val="51723C06"/>
    <w:rsid w:val="51F2431E"/>
    <w:rsid w:val="52480FFC"/>
    <w:rsid w:val="526A3AF2"/>
    <w:rsid w:val="52B260D1"/>
    <w:rsid w:val="533D6605"/>
    <w:rsid w:val="534F5B5D"/>
    <w:rsid w:val="5357074A"/>
    <w:rsid w:val="53A925D0"/>
    <w:rsid w:val="53C8082A"/>
    <w:rsid w:val="54015D64"/>
    <w:rsid w:val="54C545F2"/>
    <w:rsid w:val="54CE4CAD"/>
    <w:rsid w:val="54E71DCE"/>
    <w:rsid w:val="54F061B5"/>
    <w:rsid w:val="55CC2FD5"/>
    <w:rsid w:val="55F67C33"/>
    <w:rsid w:val="56035122"/>
    <w:rsid w:val="567A01BF"/>
    <w:rsid w:val="568E078F"/>
    <w:rsid w:val="56F3428F"/>
    <w:rsid w:val="571B7FE3"/>
    <w:rsid w:val="581C6E87"/>
    <w:rsid w:val="58556396"/>
    <w:rsid w:val="58570836"/>
    <w:rsid w:val="585F0B6E"/>
    <w:rsid w:val="58702986"/>
    <w:rsid w:val="597268C1"/>
    <w:rsid w:val="597E0EC6"/>
    <w:rsid w:val="59A058B2"/>
    <w:rsid w:val="59AA585F"/>
    <w:rsid w:val="59D429AD"/>
    <w:rsid w:val="59DC7024"/>
    <w:rsid w:val="5A091C84"/>
    <w:rsid w:val="5A25615F"/>
    <w:rsid w:val="5A41453A"/>
    <w:rsid w:val="5A785321"/>
    <w:rsid w:val="5AAF1372"/>
    <w:rsid w:val="5ABD618F"/>
    <w:rsid w:val="5B097E33"/>
    <w:rsid w:val="5B10488E"/>
    <w:rsid w:val="5B1D7958"/>
    <w:rsid w:val="5B2F7A57"/>
    <w:rsid w:val="5B3068D5"/>
    <w:rsid w:val="5B52647F"/>
    <w:rsid w:val="5B8C6B64"/>
    <w:rsid w:val="5BA05404"/>
    <w:rsid w:val="5BD4423A"/>
    <w:rsid w:val="5BE829DA"/>
    <w:rsid w:val="5C2D3770"/>
    <w:rsid w:val="5C8C2579"/>
    <w:rsid w:val="5D495A6F"/>
    <w:rsid w:val="5DC17AA6"/>
    <w:rsid w:val="5DC9516A"/>
    <w:rsid w:val="5E0C2F9F"/>
    <w:rsid w:val="5E116DC4"/>
    <w:rsid w:val="5E3B0797"/>
    <w:rsid w:val="5E7E6E74"/>
    <w:rsid w:val="5E8672E2"/>
    <w:rsid w:val="5EC02256"/>
    <w:rsid w:val="5EE97C08"/>
    <w:rsid w:val="5F0030E8"/>
    <w:rsid w:val="5F102BE0"/>
    <w:rsid w:val="5F6153BC"/>
    <w:rsid w:val="5F6666B5"/>
    <w:rsid w:val="5F91026B"/>
    <w:rsid w:val="5FC442E5"/>
    <w:rsid w:val="5FD8133F"/>
    <w:rsid w:val="5FDA31D4"/>
    <w:rsid w:val="60047789"/>
    <w:rsid w:val="602A2F2C"/>
    <w:rsid w:val="60367C40"/>
    <w:rsid w:val="60482400"/>
    <w:rsid w:val="60821EFF"/>
    <w:rsid w:val="60AD43FF"/>
    <w:rsid w:val="60B66723"/>
    <w:rsid w:val="60BC40FF"/>
    <w:rsid w:val="60E016AC"/>
    <w:rsid w:val="60F753D2"/>
    <w:rsid w:val="61244FB9"/>
    <w:rsid w:val="61303E96"/>
    <w:rsid w:val="61361D02"/>
    <w:rsid w:val="6162097A"/>
    <w:rsid w:val="616577ED"/>
    <w:rsid w:val="619271E4"/>
    <w:rsid w:val="61DF06A3"/>
    <w:rsid w:val="62056805"/>
    <w:rsid w:val="620E17D5"/>
    <w:rsid w:val="62696CDF"/>
    <w:rsid w:val="62705746"/>
    <w:rsid w:val="627316A1"/>
    <w:rsid w:val="62767061"/>
    <w:rsid w:val="62A617F5"/>
    <w:rsid w:val="62D354A7"/>
    <w:rsid w:val="63104734"/>
    <w:rsid w:val="632C6360"/>
    <w:rsid w:val="63577299"/>
    <w:rsid w:val="63A10F85"/>
    <w:rsid w:val="646D1E87"/>
    <w:rsid w:val="64A92038"/>
    <w:rsid w:val="64B5584E"/>
    <w:rsid w:val="64CA611C"/>
    <w:rsid w:val="65FA7992"/>
    <w:rsid w:val="663E6DEC"/>
    <w:rsid w:val="66612E71"/>
    <w:rsid w:val="6698798F"/>
    <w:rsid w:val="66D70820"/>
    <w:rsid w:val="66DB071A"/>
    <w:rsid w:val="67025A6B"/>
    <w:rsid w:val="670C6F8F"/>
    <w:rsid w:val="67293314"/>
    <w:rsid w:val="673A795B"/>
    <w:rsid w:val="67912992"/>
    <w:rsid w:val="679F59B9"/>
    <w:rsid w:val="67A405C9"/>
    <w:rsid w:val="67B731A9"/>
    <w:rsid w:val="67CE0856"/>
    <w:rsid w:val="680C4ED6"/>
    <w:rsid w:val="682F1839"/>
    <w:rsid w:val="683D75B1"/>
    <w:rsid w:val="68931335"/>
    <w:rsid w:val="68A34D7C"/>
    <w:rsid w:val="68B250C3"/>
    <w:rsid w:val="68E12D09"/>
    <w:rsid w:val="68FA4305"/>
    <w:rsid w:val="69073A62"/>
    <w:rsid w:val="690B41CF"/>
    <w:rsid w:val="690D3F1C"/>
    <w:rsid w:val="693C46A8"/>
    <w:rsid w:val="69557A8B"/>
    <w:rsid w:val="697A79C1"/>
    <w:rsid w:val="698001FB"/>
    <w:rsid w:val="69ED3F38"/>
    <w:rsid w:val="6A21296C"/>
    <w:rsid w:val="6A914134"/>
    <w:rsid w:val="6AD60C0C"/>
    <w:rsid w:val="6AF51BD6"/>
    <w:rsid w:val="6AFA4CAF"/>
    <w:rsid w:val="6B4A08A1"/>
    <w:rsid w:val="6BEA4E75"/>
    <w:rsid w:val="6BEC0123"/>
    <w:rsid w:val="6C233D5E"/>
    <w:rsid w:val="6C595E34"/>
    <w:rsid w:val="6C5A4EBB"/>
    <w:rsid w:val="6C737554"/>
    <w:rsid w:val="6C7E4B28"/>
    <w:rsid w:val="6C80739C"/>
    <w:rsid w:val="6C8C2B7F"/>
    <w:rsid w:val="6CCB2AEE"/>
    <w:rsid w:val="6CDF06E6"/>
    <w:rsid w:val="6D803BDC"/>
    <w:rsid w:val="6DBD7C21"/>
    <w:rsid w:val="6DC77706"/>
    <w:rsid w:val="6DCD19F0"/>
    <w:rsid w:val="6E095992"/>
    <w:rsid w:val="6E2A2F28"/>
    <w:rsid w:val="6E3F0F64"/>
    <w:rsid w:val="6E4606B7"/>
    <w:rsid w:val="6E5F0EDE"/>
    <w:rsid w:val="6F704670"/>
    <w:rsid w:val="6FAF030E"/>
    <w:rsid w:val="6FF15843"/>
    <w:rsid w:val="700643B3"/>
    <w:rsid w:val="702228B3"/>
    <w:rsid w:val="70A11731"/>
    <w:rsid w:val="70A7595B"/>
    <w:rsid w:val="70CA6519"/>
    <w:rsid w:val="70E726D7"/>
    <w:rsid w:val="711D60EC"/>
    <w:rsid w:val="712F65F2"/>
    <w:rsid w:val="714E6154"/>
    <w:rsid w:val="715A61B6"/>
    <w:rsid w:val="71DC11EC"/>
    <w:rsid w:val="720E2A20"/>
    <w:rsid w:val="724834CA"/>
    <w:rsid w:val="72656409"/>
    <w:rsid w:val="726A5C37"/>
    <w:rsid w:val="728D7DD7"/>
    <w:rsid w:val="72BF6425"/>
    <w:rsid w:val="72F408B1"/>
    <w:rsid w:val="73106898"/>
    <w:rsid w:val="733563C0"/>
    <w:rsid w:val="734D334D"/>
    <w:rsid w:val="7368698B"/>
    <w:rsid w:val="738814C3"/>
    <w:rsid w:val="739035ED"/>
    <w:rsid w:val="739D3745"/>
    <w:rsid w:val="73B843A9"/>
    <w:rsid w:val="73BA1579"/>
    <w:rsid w:val="73F074A4"/>
    <w:rsid w:val="74022D07"/>
    <w:rsid w:val="74281B54"/>
    <w:rsid w:val="749C6654"/>
    <w:rsid w:val="75062933"/>
    <w:rsid w:val="75201700"/>
    <w:rsid w:val="7528040F"/>
    <w:rsid w:val="75596991"/>
    <w:rsid w:val="758210C8"/>
    <w:rsid w:val="759A1E28"/>
    <w:rsid w:val="75C515A6"/>
    <w:rsid w:val="75DD225D"/>
    <w:rsid w:val="7687316C"/>
    <w:rsid w:val="76B621E6"/>
    <w:rsid w:val="77031A26"/>
    <w:rsid w:val="774A5968"/>
    <w:rsid w:val="77C55B0A"/>
    <w:rsid w:val="780B5CBB"/>
    <w:rsid w:val="781F0416"/>
    <w:rsid w:val="783D7B16"/>
    <w:rsid w:val="78522B28"/>
    <w:rsid w:val="785A4353"/>
    <w:rsid w:val="787232BB"/>
    <w:rsid w:val="78770A6A"/>
    <w:rsid w:val="78B56A97"/>
    <w:rsid w:val="78D334CE"/>
    <w:rsid w:val="79235637"/>
    <w:rsid w:val="792E66F6"/>
    <w:rsid w:val="79996E15"/>
    <w:rsid w:val="79B2392E"/>
    <w:rsid w:val="79C26D0B"/>
    <w:rsid w:val="79C901AC"/>
    <w:rsid w:val="79E16B57"/>
    <w:rsid w:val="79FB4881"/>
    <w:rsid w:val="7A240156"/>
    <w:rsid w:val="7A4130FF"/>
    <w:rsid w:val="7A7F377C"/>
    <w:rsid w:val="7AB05A30"/>
    <w:rsid w:val="7AF538F0"/>
    <w:rsid w:val="7B144CF2"/>
    <w:rsid w:val="7B3C6BC0"/>
    <w:rsid w:val="7B54318D"/>
    <w:rsid w:val="7BB01B08"/>
    <w:rsid w:val="7BD35A5D"/>
    <w:rsid w:val="7C2E2AB8"/>
    <w:rsid w:val="7C383E41"/>
    <w:rsid w:val="7C4D37BB"/>
    <w:rsid w:val="7C746589"/>
    <w:rsid w:val="7C821A3D"/>
    <w:rsid w:val="7C93309B"/>
    <w:rsid w:val="7C952391"/>
    <w:rsid w:val="7D0F5201"/>
    <w:rsid w:val="7DBC02C7"/>
    <w:rsid w:val="7DC463CA"/>
    <w:rsid w:val="7E084147"/>
    <w:rsid w:val="7E0F4AA7"/>
    <w:rsid w:val="7E6C001A"/>
    <w:rsid w:val="7E8F7FF4"/>
    <w:rsid w:val="7E943ABC"/>
    <w:rsid w:val="7EAC7AEC"/>
    <w:rsid w:val="7ED973C5"/>
    <w:rsid w:val="7EF105D9"/>
    <w:rsid w:val="7F343116"/>
    <w:rsid w:val="7F72061E"/>
    <w:rsid w:val="7FA749EB"/>
    <w:rsid w:val="7FB46D55"/>
    <w:rsid w:val="7FC031AB"/>
    <w:rsid w:val="7FD44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qFormat/>
    <w:uiPriority w:val="0"/>
    <w:pPr>
      <w:widowControl w:val="0"/>
      <w:spacing w:beforeAutospacing="1" w:afterAutospacing="1"/>
      <w:outlineLvl w:val="0"/>
    </w:pPr>
    <w:rPr>
      <w:rFonts w:hint="eastAsia" w:ascii="宋体" w:hAnsi="宋体"/>
      <w:b/>
      <w:kern w:val="44"/>
      <w:sz w:val="48"/>
      <w:szCs w:val="48"/>
    </w:rPr>
  </w:style>
  <w:style w:type="paragraph" w:styleId="3">
    <w:name w:val="heading 2"/>
    <w:basedOn w:val="1"/>
    <w:next w:val="1"/>
    <w:unhideWhenUsed/>
    <w:qFormat/>
    <w:uiPriority w:val="0"/>
    <w:pPr>
      <w:keepNext/>
      <w:keepLines/>
      <w:widowControl w:val="0"/>
      <w:spacing w:before="260" w:after="260" w:line="413" w:lineRule="auto"/>
      <w:jc w:val="both"/>
      <w:outlineLvl w:val="1"/>
    </w:pPr>
    <w:rPr>
      <w:rFonts w:ascii="Arial" w:hAnsi="Arial" w:eastAsia="黑体" w:cstheme="minorBidi"/>
      <w:b/>
      <w:kern w:val="2"/>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7"/>
    <w:qFormat/>
    <w:uiPriority w:val="0"/>
    <w:pPr>
      <w:widowControl w:val="0"/>
    </w:pPr>
    <w:rPr>
      <w:rFonts w:asciiTheme="minorHAnsi" w:hAnsiTheme="minorHAnsi" w:eastAsiaTheme="minorEastAsia" w:cstheme="minorBidi"/>
      <w:kern w:val="2"/>
      <w:sz w:val="21"/>
    </w:rPr>
  </w:style>
  <w:style w:type="paragraph" w:styleId="5">
    <w:name w:val="Balloon Text"/>
    <w:basedOn w:val="1"/>
    <w:link w:val="29"/>
    <w:qFormat/>
    <w:uiPriority w:val="0"/>
    <w:pPr>
      <w:widowControl w:val="0"/>
      <w:jc w:val="both"/>
    </w:pPr>
    <w:rPr>
      <w:rFonts w:asciiTheme="minorHAnsi" w:hAnsiTheme="minorHAnsi" w:eastAsiaTheme="minorEastAsia" w:cstheme="minorBidi"/>
      <w:kern w:val="2"/>
      <w:sz w:val="18"/>
      <w:szCs w:val="18"/>
    </w:rPr>
  </w:style>
  <w:style w:type="paragraph" w:styleId="6">
    <w:name w:val="footer"/>
    <w:basedOn w:val="1"/>
    <w:link w:val="26"/>
    <w:qFormat/>
    <w:uiPriority w:val="0"/>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7">
    <w:name w:val="header"/>
    <w:basedOn w:val="1"/>
    <w:link w:val="25"/>
    <w:qFormat/>
    <w:uiPriority w:val="0"/>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8">
    <w:name w:val="Normal (Web)"/>
    <w:basedOn w:val="1"/>
    <w:qFormat/>
    <w:uiPriority w:val="99"/>
    <w:pPr>
      <w:widowControl w:val="0"/>
      <w:spacing w:beforeAutospacing="1" w:afterAutospacing="1"/>
    </w:pPr>
    <w:rPr>
      <w:rFonts w:asciiTheme="minorHAnsi" w:hAnsiTheme="minorHAnsi" w:eastAsiaTheme="minorEastAsia"/>
    </w:rPr>
  </w:style>
  <w:style w:type="paragraph" w:styleId="9">
    <w:name w:val="annotation subject"/>
    <w:basedOn w:val="4"/>
    <w:next w:val="4"/>
    <w:link w:val="28"/>
    <w:qFormat/>
    <w:uiPriority w:val="0"/>
    <w:rPr>
      <w:b/>
      <w:bCs/>
    </w:rPr>
  </w:style>
  <w:style w:type="character" w:styleId="12">
    <w:name w:val="Strong"/>
    <w:basedOn w:val="11"/>
    <w:qFormat/>
    <w:uiPriority w:val="22"/>
  </w:style>
  <w:style w:type="character" w:styleId="13">
    <w:name w:val="FollowedHyperlink"/>
    <w:basedOn w:val="11"/>
    <w:qFormat/>
    <w:uiPriority w:val="0"/>
    <w:rPr>
      <w:color w:val="000000"/>
      <w:u w:val="none"/>
    </w:rPr>
  </w:style>
  <w:style w:type="character" w:styleId="14">
    <w:name w:val="Emphasis"/>
    <w:basedOn w:val="11"/>
    <w:qFormat/>
    <w:uiPriority w:val="0"/>
  </w:style>
  <w:style w:type="character" w:styleId="15">
    <w:name w:val="HTML Definition"/>
    <w:basedOn w:val="11"/>
    <w:qFormat/>
    <w:uiPriority w:val="0"/>
  </w:style>
  <w:style w:type="character" w:styleId="16">
    <w:name w:val="HTML Acronym"/>
    <w:basedOn w:val="11"/>
    <w:qFormat/>
    <w:uiPriority w:val="0"/>
  </w:style>
  <w:style w:type="character" w:styleId="17">
    <w:name w:val="HTML Variable"/>
    <w:basedOn w:val="11"/>
    <w:qFormat/>
    <w:uiPriority w:val="0"/>
  </w:style>
  <w:style w:type="character" w:styleId="18">
    <w:name w:val="Hyperlink"/>
    <w:basedOn w:val="11"/>
    <w:qFormat/>
    <w:uiPriority w:val="0"/>
    <w:rPr>
      <w:color w:val="0000FF"/>
      <w:u w:val="single"/>
    </w:rPr>
  </w:style>
  <w:style w:type="character" w:styleId="19">
    <w:name w:val="HTML Code"/>
    <w:basedOn w:val="11"/>
    <w:qFormat/>
    <w:uiPriority w:val="0"/>
    <w:rPr>
      <w:rFonts w:ascii="Courier New" w:hAnsi="Courier New"/>
      <w:sz w:val="20"/>
    </w:rPr>
  </w:style>
  <w:style w:type="character" w:styleId="20">
    <w:name w:val="annotation reference"/>
    <w:basedOn w:val="11"/>
    <w:qFormat/>
    <w:uiPriority w:val="0"/>
    <w:rPr>
      <w:sz w:val="21"/>
      <w:szCs w:val="21"/>
    </w:rPr>
  </w:style>
  <w:style w:type="character" w:styleId="21">
    <w:name w:val="HTML Cite"/>
    <w:basedOn w:val="11"/>
    <w:qFormat/>
    <w:uiPriority w:val="0"/>
    <w:rPr>
      <w:color w:val="000000"/>
      <w:u w:val="none"/>
    </w:rPr>
  </w:style>
  <w:style w:type="paragraph" w:customStyle="1" w:styleId="22">
    <w:name w:val="二级标题"/>
    <w:basedOn w:val="3"/>
    <w:next w:val="1"/>
    <w:qFormat/>
    <w:uiPriority w:val="0"/>
    <w:rPr>
      <w:rFonts w:hint="eastAsia" w:eastAsia="微软雅黑" w:cs="Times New Roman" w:asciiTheme="minorHAnsi" w:hAnsiTheme="minorHAnsi"/>
      <w:kern w:val="0"/>
      <w:sz w:val="24"/>
      <w:szCs w:val="18"/>
    </w:rPr>
  </w:style>
  <w:style w:type="paragraph" w:styleId="23">
    <w:name w:val="List Paragraph"/>
    <w:basedOn w:val="1"/>
    <w:qFormat/>
    <w:uiPriority w:val="99"/>
    <w:pPr>
      <w:widowControl w:val="0"/>
      <w:ind w:firstLine="420" w:firstLineChars="200"/>
      <w:jc w:val="both"/>
    </w:pPr>
    <w:rPr>
      <w:rFonts w:asciiTheme="minorHAnsi" w:hAnsiTheme="minorHAnsi" w:eastAsiaTheme="minorEastAsia" w:cstheme="minorBidi"/>
      <w:kern w:val="2"/>
      <w:sz w:val="21"/>
    </w:rPr>
  </w:style>
  <w:style w:type="character" w:customStyle="1" w:styleId="24">
    <w:name w:val="page"/>
    <w:basedOn w:val="11"/>
    <w:qFormat/>
    <w:uiPriority w:val="0"/>
    <w:rPr>
      <w:rFonts w:ascii="Arial" w:hAnsi="Arial" w:cs="Arial"/>
      <w:b/>
      <w:color w:val="036CB4"/>
      <w:sz w:val="18"/>
      <w:szCs w:val="18"/>
      <w:u w:val="none"/>
      <w:bdr w:val="single" w:color="B7D8EE" w:sz="6" w:space="0"/>
      <w:shd w:val="clear" w:color="auto" w:fill="D2EAF6"/>
    </w:rPr>
  </w:style>
  <w:style w:type="character" w:customStyle="1" w:styleId="25">
    <w:name w:val="页眉 字符"/>
    <w:basedOn w:val="11"/>
    <w:link w:val="7"/>
    <w:qFormat/>
    <w:uiPriority w:val="0"/>
    <w:rPr>
      <w:rFonts w:asciiTheme="minorHAnsi" w:hAnsiTheme="minorHAnsi" w:eastAsiaTheme="minorEastAsia" w:cstheme="minorBidi"/>
      <w:kern w:val="2"/>
      <w:sz w:val="18"/>
      <w:szCs w:val="18"/>
    </w:rPr>
  </w:style>
  <w:style w:type="character" w:customStyle="1" w:styleId="26">
    <w:name w:val="页脚 字符"/>
    <w:basedOn w:val="11"/>
    <w:link w:val="6"/>
    <w:qFormat/>
    <w:uiPriority w:val="0"/>
    <w:rPr>
      <w:rFonts w:asciiTheme="minorHAnsi" w:hAnsiTheme="minorHAnsi" w:eastAsiaTheme="minorEastAsia" w:cstheme="minorBidi"/>
      <w:kern w:val="2"/>
      <w:sz w:val="18"/>
      <w:szCs w:val="18"/>
    </w:rPr>
  </w:style>
  <w:style w:type="character" w:customStyle="1" w:styleId="27">
    <w:name w:val="批注文字 字符"/>
    <w:basedOn w:val="11"/>
    <w:link w:val="4"/>
    <w:qFormat/>
    <w:uiPriority w:val="0"/>
    <w:rPr>
      <w:rFonts w:asciiTheme="minorHAnsi" w:hAnsiTheme="minorHAnsi" w:eastAsiaTheme="minorEastAsia" w:cstheme="minorBidi"/>
      <w:kern w:val="2"/>
      <w:sz w:val="21"/>
      <w:szCs w:val="24"/>
    </w:rPr>
  </w:style>
  <w:style w:type="character" w:customStyle="1" w:styleId="28">
    <w:name w:val="批注主题 字符"/>
    <w:basedOn w:val="27"/>
    <w:link w:val="9"/>
    <w:qFormat/>
    <w:uiPriority w:val="0"/>
    <w:rPr>
      <w:rFonts w:asciiTheme="minorHAnsi" w:hAnsiTheme="minorHAnsi" w:eastAsiaTheme="minorEastAsia" w:cstheme="minorBidi"/>
      <w:b/>
      <w:bCs/>
      <w:kern w:val="2"/>
      <w:sz w:val="21"/>
      <w:szCs w:val="24"/>
    </w:rPr>
  </w:style>
  <w:style w:type="character" w:customStyle="1" w:styleId="29">
    <w:name w:val="批注框文本 字符"/>
    <w:basedOn w:val="11"/>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1DD0C4-5FE5-40ED-A2EB-8A3D3591C8A7}">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5</Pages>
  <Words>3204</Words>
  <Characters>3292</Characters>
  <Lines>25</Lines>
  <Paragraphs>7</Paragraphs>
  <TotalTime>9</TotalTime>
  <ScaleCrop>false</ScaleCrop>
  <LinksUpToDate>false</LinksUpToDate>
  <CharactersWithSpaces>3350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2019-06-11T11:19:00Z</dcterms:created>
  <dc:creator>椒盐小浣熊</dc:creator>
  <cp:lastModifiedBy>智齿成长日记</cp:lastModifiedBy>
  <cp:lastPrinted>2019-12-03T08:21:00Z</cp:lastPrinted>
  <dcterms:modified xsi:type="dcterms:W3CDTF">2019-12-04T01:55:33Z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