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006" w:hanging="4578" w:hangingChars="1900"/>
        <w:jc w:val="center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8"/>
          <w:shd w:val="clear" w:color="auto" w:fill="FFFFFF"/>
        </w:rPr>
        <w:t>各研究方向阅读书目</w:t>
      </w:r>
    </w:p>
    <w:p>
      <w:pPr>
        <w:spacing w:line="360" w:lineRule="auto"/>
        <w:ind w:left="4006" w:hanging="4006" w:hangingChars="1900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1.</w:t>
      </w:r>
      <w:r>
        <w:rPr>
          <w:rFonts w:ascii="宋体" w:hAnsi="宋体" w:eastAsia="宋体"/>
          <w:b/>
          <w:szCs w:val="21"/>
        </w:rPr>
        <w:t>语言学方向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戴炜栋 何兆熊（主编）《新编简明英语语言学教程》上海外语教育出版社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2002年版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胡壮麟（主编）《语言学教程》second edition, 北京大学出版社，2001年版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George Yule 1996/2000 </w:t>
      </w:r>
      <w:r>
        <w:rPr>
          <w:rFonts w:ascii="宋体" w:hAnsi="宋体" w:eastAsia="宋体"/>
          <w:i/>
          <w:sz w:val="24"/>
          <w:szCs w:val="24"/>
        </w:rPr>
        <w:t>The Study of Language</w:t>
      </w:r>
      <w:r>
        <w:rPr>
          <w:rFonts w:ascii="宋体" w:hAnsi="宋体" w:eastAsia="宋体"/>
          <w:sz w:val="24"/>
          <w:szCs w:val="24"/>
        </w:rPr>
        <w:t xml:space="preserve"> (second edition), Cambridge University Press/Foreign Language Research &amp;T</w:t>
      </w:r>
      <w:bookmarkStart w:id="0" w:name="_GoBack"/>
      <w:bookmarkEnd w:id="0"/>
      <w:r>
        <w:rPr>
          <w:rFonts w:ascii="宋体" w:hAnsi="宋体" w:eastAsia="宋体"/>
          <w:sz w:val="24"/>
          <w:szCs w:val="24"/>
        </w:rPr>
        <w:t>eaching Press</w:t>
      </w:r>
      <w:r>
        <w:rPr>
          <w:rFonts w:hint="eastAsia" w:ascii="宋体" w:hAnsi="宋体" w:eastAsia="宋体"/>
          <w:sz w:val="24"/>
          <w:szCs w:val="24"/>
        </w:rPr>
        <w:t>.</w:t>
      </w:r>
    </w:p>
    <w:p>
      <w:pPr>
        <w:jc w:val="left"/>
        <w:rPr>
          <w:rFonts w:hint="eastAsia"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2.</w:t>
      </w:r>
      <w:r>
        <w:rPr>
          <w:rFonts w:ascii="宋体" w:hAnsi="宋体" w:eastAsia="宋体"/>
          <w:b/>
          <w:szCs w:val="21"/>
        </w:rPr>
        <w:t>应用语言学方向</w:t>
      </w:r>
      <w:r>
        <w:rPr>
          <w:rFonts w:hint="eastAsia" w:ascii="宋体" w:hAnsi="宋体" w:eastAsia="宋体"/>
          <w:b/>
          <w:szCs w:val="21"/>
        </w:rPr>
        <w:t>、</w:t>
      </w:r>
      <w:r>
        <w:rPr>
          <w:rFonts w:hint="eastAsia" w:ascii="宋体" w:hAnsi="宋体" w:eastAsia="宋体"/>
          <w:b/>
          <w:bCs/>
          <w:szCs w:val="21"/>
        </w:rPr>
        <w:t>区域国别研究（世界语言政策）特色研究生项目</w:t>
      </w:r>
    </w:p>
    <w:p>
      <w:pPr>
        <w:spacing w:before="3" w:line="244" w:lineRule="auto"/>
        <w:ind w:right="358"/>
        <w:rPr>
          <w:rFonts w:ascii="宋体" w:hAnsi="宋体" w:eastAsia="宋体"/>
          <w:i/>
          <w:szCs w:val="21"/>
        </w:rPr>
      </w:pPr>
      <w:r>
        <w:rPr>
          <w:rFonts w:hint="eastAsia" w:ascii="宋体" w:hAnsi="宋体" w:eastAsia="宋体"/>
          <w:iCs/>
          <w:szCs w:val="21"/>
        </w:rPr>
        <w:t>Davies A. 2007.</w:t>
      </w:r>
      <w:r>
        <w:rPr>
          <w:rFonts w:hint="eastAsia" w:ascii="宋体" w:hAnsi="宋体" w:eastAsia="宋体"/>
          <w:i/>
          <w:szCs w:val="21"/>
        </w:rPr>
        <w:t xml:space="preserve"> An Introduction to Applied Linguistics: From Theory to Practice (2nd ed.). Edinburgh: Edinburgh University Press.</w:t>
      </w:r>
    </w:p>
    <w:p>
      <w:pPr>
        <w:spacing w:before="3" w:line="244" w:lineRule="auto"/>
        <w:ind w:right="358"/>
        <w:rPr>
          <w:rFonts w:ascii="宋体" w:hAnsi="宋体" w:eastAsia="宋体"/>
          <w:i/>
          <w:szCs w:val="21"/>
        </w:rPr>
      </w:pPr>
      <w:r>
        <w:rPr>
          <w:rFonts w:hint="eastAsia" w:ascii="宋体" w:hAnsi="宋体" w:eastAsia="宋体"/>
          <w:iCs/>
          <w:szCs w:val="21"/>
        </w:rPr>
        <w:t xml:space="preserve">Ellis R. 1999. </w:t>
      </w:r>
      <w:r>
        <w:rPr>
          <w:rFonts w:hint="eastAsia" w:ascii="宋体" w:hAnsi="宋体" w:eastAsia="宋体"/>
          <w:i/>
          <w:szCs w:val="21"/>
        </w:rPr>
        <w:t>Understanding Second Language Acquisition. Shanghai: Shanghai Foreign Language Education Press.</w:t>
      </w:r>
    </w:p>
    <w:p>
      <w:pPr>
        <w:spacing w:before="3" w:line="244" w:lineRule="auto"/>
        <w:ind w:right="358"/>
        <w:rPr>
          <w:rFonts w:ascii="宋体" w:hAnsi="宋体" w:eastAsia="宋体"/>
          <w:i/>
          <w:szCs w:val="21"/>
        </w:rPr>
      </w:pPr>
      <w:r>
        <w:rPr>
          <w:rFonts w:ascii="宋体" w:hAnsi="宋体" w:eastAsia="宋体"/>
          <w:szCs w:val="21"/>
        </w:rPr>
        <w:t>Johnson</w:t>
      </w:r>
      <w:r>
        <w:rPr>
          <w:rFonts w:hint="eastAsia" w:ascii="宋体" w:hAnsi="宋体" w:eastAsia="宋体"/>
          <w:iCs/>
          <w:szCs w:val="21"/>
        </w:rPr>
        <w:t xml:space="preserve"> K. 2001. </w:t>
      </w:r>
      <w:r>
        <w:rPr>
          <w:rFonts w:ascii="宋体" w:hAnsi="宋体" w:eastAsia="宋体"/>
          <w:i/>
          <w:szCs w:val="21"/>
        </w:rPr>
        <w:t>An Introduction to Foreign Language Learning and Teaching</w:t>
      </w:r>
      <w:r>
        <w:rPr>
          <w:rFonts w:hint="eastAsia" w:ascii="宋体" w:hAnsi="宋体" w:eastAsia="宋体"/>
          <w:i/>
          <w:szCs w:val="21"/>
        </w:rPr>
        <w:t>. Beijing: Foreign</w:t>
      </w:r>
      <w:r>
        <w:rPr>
          <w:rFonts w:ascii="宋体" w:hAnsi="宋体" w:eastAsia="宋体"/>
          <w:i/>
          <w:szCs w:val="21"/>
        </w:rPr>
        <w:t xml:space="preserve"> Language Teaching</w:t>
      </w:r>
      <w:r>
        <w:rPr>
          <w:rFonts w:hint="eastAsia" w:ascii="宋体" w:hAnsi="宋体" w:eastAsia="宋体"/>
          <w:i/>
          <w:szCs w:val="21"/>
        </w:rPr>
        <w:t xml:space="preserve"> and Research Press. </w:t>
      </w:r>
    </w:p>
    <w:p>
      <w:pPr>
        <w:spacing w:before="3" w:line="244" w:lineRule="auto"/>
        <w:ind w:right="358"/>
        <w:rPr>
          <w:rFonts w:ascii="宋体" w:hAnsi="宋体" w:eastAsia="宋体"/>
          <w:i/>
          <w:szCs w:val="21"/>
        </w:rPr>
      </w:pPr>
      <w:r>
        <w:rPr>
          <w:rFonts w:hint="eastAsia" w:ascii="宋体" w:hAnsi="宋体" w:eastAsia="宋体"/>
          <w:iCs/>
          <w:szCs w:val="21"/>
        </w:rPr>
        <w:t>Brown H D. 2002.</w:t>
      </w:r>
      <w:r>
        <w:rPr>
          <w:rFonts w:hint="eastAsia" w:ascii="宋体" w:hAnsi="宋体" w:eastAsia="宋体"/>
          <w:i/>
          <w:szCs w:val="21"/>
        </w:rPr>
        <w:t xml:space="preserve"> Principles of</w:t>
      </w:r>
      <w:r>
        <w:rPr>
          <w:rFonts w:ascii="宋体" w:hAnsi="宋体" w:eastAsia="宋体"/>
          <w:i/>
          <w:szCs w:val="21"/>
        </w:rPr>
        <w:t xml:space="preserve"> Language</w:t>
      </w:r>
      <w:r>
        <w:rPr>
          <w:rFonts w:hint="eastAsia" w:ascii="宋体" w:hAnsi="宋体" w:eastAsia="宋体"/>
          <w:i/>
          <w:szCs w:val="21"/>
        </w:rPr>
        <w:t xml:space="preserve"> Learning and</w:t>
      </w:r>
      <w:r>
        <w:rPr>
          <w:rFonts w:ascii="宋体" w:hAnsi="宋体" w:eastAsia="宋体"/>
          <w:i/>
          <w:szCs w:val="21"/>
        </w:rPr>
        <w:t xml:space="preserve"> Teaching</w:t>
      </w:r>
      <w:r>
        <w:rPr>
          <w:rFonts w:hint="eastAsia" w:ascii="宋体" w:hAnsi="宋体" w:eastAsia="宋体"/>
          <w:i/>
          <w:szCs w:val="21"/>
        </w:rPr>
        <w:t>. Beijing: Foreign Language</w:t>
      </w:r>
      <w:r>
        <w:rPr>
          <w:rFonts w:ascii="宋体" w:hAnsi="宋体" w:eastAsia="宋体"/>
          <w:i/>
          <w:szCs w:val="21"/>
        </w:rPr>
        <w:t xml:space="preserve"> Teaching </w:t>
      </w:r>
      <w:r>
        <w:rPr>
          <w:rFonts w:hint="eastAsia" w:ascii="宋体" w:hAnsi="宋体" w:eastAsia="宋体"/>
          <w:i/>
          <w:szCs w:val="21"/>
        </w:rPr>
        <w:t xml:space="preserve">and Research Press. </w:t>
      </w:r>
    </w:p>
    <w:p>
      <w:pPr>
        <w:spacing w:before="3" w:line="244" w:lineRule="auto"/>
        <w:ind w:right="358"/>
        <w:rPr>
          <w:rFonts w:ascii="宋体" w:hAnsi="宋体" w:eastAsia="宋体"/>
          <w:i/>
          <w:szCs w:val="21"/>
        </w:rPr>
      </w:pPr>
      <w:r>
        <w:rPr>
          <w:rFonts w:hint="eastAsia" w:ascii="宋体" w:hAnsi="宋体" w:eastAsia="宋体"/>
          <w:iCs/>
          <w:szCs w:val="21"/>
        </w:rPr>
        <w:t xml:space="preserve">Block D. 2016. </w:t>
      </w:r>
      <w:r>
        <w:rPr>
          <w:rFonts w:hint="eastAsia" w:ascii="宋体" w:hAnsi="宋体" w:eastAsia="宋体"/>
          <w:i/>
          <w:szCs w:val="21"/>
        </w:rPr>
        <w:t>The Social Turn of Second Language Acquisition. Shanghai: Shanghai Foreign Language Education Press.</w:t>
      </w:r>
    </w:p>
    <w:p>
      <w:pPr>
        <w:spacing w:before="3" w:line="244" w:lineRule="auto"/>
        <w:ind w:right="358"/>
        <w:rPr>
          <w:rFonts w:ascii="宋体" w:hAnsi="宋体" w:eastAsia="宋体"/>
          <w:i/>
          <w:szCs w:val="21"/>
        </w:rPr>
      </w:pPr>
    </w:p>
    <w:p>
      <w:pPr>
        <w:spacing w:line="240" w:lineRule="auto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3.</w:t>
      </w:r>
      <w:r>
        <w:rPr>
          <w:rFonts w:ascii="宋体" w:hAnsi="宋体" w:eastAsia="宋体"/>
          <w:b/>
          <w:sz w:val="24"/>
          <w:szCs w:val="24"/>
        </w:rPr>
        <w:t>英美（</w:t>
      </w:r>
      <w:r>
        <w:rPr>
          <w:rFonts w:hint="eastAsia" w:ascii="宋体" w:hAnsi="宋体" w:eastAsia="宋体"/>
          <w:b/>
          <w:sz w:val="24"/>
          <w:szCs w:val="24"/>
          <w:lang w:val="en-US" w:eastAsia="zh-Hans"/>
        </w:rPr>
        <w:t>及其它英语国家</w:t>
      </w:r>
      <w:r>
        <w:rPr>
          <w:rFonts w:ascii="宋体" w:hAnsi="宋体" w:eastAsia="宋体"/>
          <w:b/>
          <w:sz w:val="24"/>
          <w:szCs w:val="24"/>
        </w:rPr>
        <w:t>）文学方向</w:t>
      </w:r>
    </w:p>
    <w:p>
      <w:pPr>
        <w:pStyle w:val="2"/>
        <w:spacing w:line="240" w:lineRule="auto"/>
        <w:ind w:left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美国文学：</w:t>
      </w:r>
    </w:p>
    <w:p>
      <w:pPr>
        <w:pStyle w:val="2"/>
        <w:spacing w:before="2" w:line="240" w:lineRule="auto"/>
        <w:ind w:left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李公昭</w:t>
      </w:r>
      <w:r>
        <w:rPr>
          <w:rFonts w:hint="eastAsia" w:ascii="宋体" w:hAnsi="宋体"/>
          <w:sz w:val="24"/>
          <w:szCs w:val="24"/>
        </w:rPr>
        <w:t>：《</w:t>
      </w:r>
      <w:r>
        <w:rPr>
          <w:rFonts w:ascii="宋体" w:hAnsi="宋体"/>
          <w:sz w:val="24"/>
          <w:szCs w:val="24"/>
        </w:rPr>
        <w:t>新编</w:t>
      </w:r>
      <w:r>
        <w:rPr>
          <w:rFonts w:hint="eastAsia" w:ascii="宋体" w:hAnsi="宋体"/>
          <w:sz w:val="24"/>
          <w:szCs w:val="24"/>
        </w:rPr>
        <w:t>美</w:t>
      </w:r>
      <w:r>
        <w:rPr>
          <w:rFonts w:ascii="宋体" w:hAnsi="宋体"/>
          <w:sz w:val="24"/>
          <w:szCs w:val="24"/>
        </w:rPr>
        <w:t>国文学选读</w:t>
      </w:r>
      <w:r>
        <w:rPr>
          <w:rFonts w:hint="eastAsia" w:ascii="宋体" w:hAnsi="宋体"/>
          <w:sz w:val="24"/>
          <w:szCs w:val="24"/>
        </w:rPr>
        <w:t>》</w:t>
      </w:r>
      <w:r>
        <w:rPr>
          <w:rFonts w:ascii="宋体" w:hAnsi="宋体"/>
          <w:sz w:val="24"/>
          <w:szCs w:val="24"/>
        </w:rPr>
        <w:t>第4版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西安：西安交通大学出版社, 2017年</w:t>
      </w:r>
    </w:p>
    <w:p>
      <w:pPr>
        <w:pStyle w:val="2"/>
        <w:spacing w:before="5" w:line="240" w:lineRule="auto"/>
        <w:ind w:left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常耀信：《美国文学简史》第3版，天津：南开大学出版社，</w:t>
      </w:r>
      <w:r>
        <w:rPr>
          <w:rFonts w:ascii="宋体" w:hAnsi="宋体"/>
          <w:sz w:val="24"/>
          <w:szCs w:val="24"/>
        </w:rPr>
        <w:t>2014</w:t>
      </w:r>
      <w:r>
        <w:rPr>
          <w:rFonts w:hint="eastAsia" w:ascii="宋体" w:hAnsi="宋体"/>
          <w:sz w:val="24"/>
          <w:szCs w:val="24"/>
        </w:rPr>
        <w:t>年</w:t>
      </w:r>
    </w:p>
    <w:p>
      <w:pPr>
        <w:pStyle w:val="2"/>
        <w:spacing w:line="240" w:lineRule="auto"/>
        <w:ind w:left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英国文学：</w:t>
      </w:r>
    </w:p>
    <w:p>
      <w:pPr>
        <w:spacing w:before="3" w:line="240" w:lineRule="auto"/>
        <w:ind w:right="358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佩克</w:t>
      </w:r>
      <w:r>
        <w:rPr>
          <w:rFonts w:ascii="宋体" w:hAnsi="宋体" w:eastAsia="宋体"/>
          <w:sz w:val="24"/>
          <w:szCs w:val="24"/>
        </w:rPr>
        <w:t xml:space="preserve">(John Peck) </w:t>
      </w:r>
      <w:r>
        <w:rPr>
          <w:rFonts w:hint="eastAsia" w:ascii="宋体" w:hAnsi="宋体" w:eastAsia="宋体"/>
          <w:sz w:val="24"/>
          <w:szCs w:val="24"/>
        </w:rPr>
        <w:t>等</w:t>
      </w:r>
      <w:r>
        <w:rPr>
          <w:rFonts w:ascii="宋体" w:hAnsi="宋体" w:eastAsia="宋体"/>
          <w:sz w:val="24"/>
          <w:szCs w:val="24"/>
        </w:rPr>
        <w:t xml:space="preserve">: </w:t>
      </w:r>
      <w:r>
        <w:rPr>
          <w:rFonts w:ascii="宋体" w:hAnsi="宋体" w:eastAsia="宋体"/>
          <w:i/>
          <w:sz w:val="24"/>
          <w:szCs w:val="24"/>
        </w:rPr>
        <w:t>A Brief History of English Literature</w:t>
      </w:r>
      <w:r>
        <w:rPr>
          <w:rFonts w:ascii="宋体" w:hAnsi="宋体" w:eastAsia="宋体"/>
          <w:sz w:val="24"/>
          <w:szCs w:val="24"/>
        </w:rPr>
        <w:t xml:space="preserve">, </w:t>
      </w:r>
      <w:r>
        <w:rPr>
          <w:rFonts w:hint="eastAsia" w:ascii="宋体" w:hAnsi="宋体" w:eastAsia="宋体"/>
          <w:sz w:val="24"/>
          <w:szCs w:val="24"/>
        </w:rPr>
        <w:t>北京：高等教育出版社，</w:t>
      </w:r>
      <w:r>
        <w:rPr>
          <w:rFonts w:ascii="宋体" w:hAnsi="宋体" w:eastAsia="宋体"/>
          <w:sz w:val="24"/>
          <w:szCs w:val="24"/>
        </w:rPr>
        <w:t>2010</w:t>
      </w:r>
      <w:r>
        <w:rPr>
          <w:rFonts w:hint="eastAsia" w:ascii="宋体" w:hAnsi="宋体" w:eastAsia="宋体"/>
          <w:sz w:val="24"/>
          <w:szCs w:val="24"/>
        </w:rPr>
        <w:t>年</w:t>
      </w:r>
    </w:p>
    <w:p>
      <w:pPr>
        <w:pStyle w:val="2"/>
        <w:spacing w:line="240" w:lineRule="auto"/>
        <w:ind w:left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罗经国等：《新编英国文学选读》</w:t>
      </w:r>
      <w:r>
        <w:rPr>
          <w:rFonts w:ascii="宋体" w:hAnsi="宋体"/>
          <w:sz w:val="24"/>
          <w:szCs w:val="24"/>
        </w:rPr>
        <w:t>(</w:t>
      </w:r>
      <w:r>
        <w:rPr>
          <w:rFonts w:hint="eastAsia" w:ascii="宋体" w:hAnsi="宋体"/>
          <w:sz w:val="24"/>
          <w:szCs w:val="24"/>
        </w:rPr>
        <w:t>上、下</w:t>
      </w:r>
      <w:r>
        <w:rPr>
          <w:rFonts w:ascii="宋体" w:hAnsi="宋体"/>
          <w:sz w:val="24"/>
          <w:szCs w:val="24"/>
        </w:rPr>
        <w:t>)</w:t>
      </w:r>
      <w:r>
        <w:rPr>
          <w:rFonts w:hint="eastAsia" w:ascii="宋体" w:hAnsi="宋体"/>
          <w:sz w:val="24"/>
          <w:szCs w:val="24"/>
        </w:rPr>
        <w:t>，北京：北京大学出版社，</w:t>
      </w:r>
      <w:r>
        <w:rPr>
          <w:rFonts w:ascii="宋体" w:hAnsi="宋体"/>
          <w:sz w:val="24"/>
          <w:szCs w:val="24"/>
        </w:rPr>
        <w:t>2016</w:t>
      </w:r>
      <w:r>
        <w:rPr>
          <w:rFonts w:hint="eastAsia" w:ascii="宋体" w:hAnsi="宋体"/>
          <w:sz w:val="24"/>
          <w:szCs w:val="24"/>
        </w:rPr>
        <w:t>年</w:t>
      </w:r>
    </w:p>
    <w:p>
      <w:pPr>
        <w:spacing w:line="24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left="4111" w:hanging="4698" w:hangingChars="1950"/>
        <w:jc w:val="left"/>
        <w:rPr>
          <w:rFonts w:ascii="宋体" w:hAnsi="宋体" w:eastAsia="宋体"/>
          <w:b/>
          <w:kern w:val="0"/>
          <w:sz w:val="24"/>
          <w:szCs w:val="24"/>
        </w:rPr>
      </w:pPr>
      <w:r>
        <w:rPr>
          <w:rFonts w:ascii="宋体" w:hAnsi="宋体" w:eastAsia="宋体"/>
          <w:b/>
          <w:kern w:val="0"/>
          <w:sz w:val="24"/>
          <w:szCs w:val="24"/>
        </w:rPr>
        <w:t>4</w:t>
      </w:r>
      <w:r>
        <w:rPr>
          <w:rFonts w:hint="eastAsia" w:ascii="宋体" w:hAnsi="宋体" w:eastAsia="宋体"/>
          <w:b/>
          <w:kern w:val="0"/>
          <w:sz w:val="24"/>
          <w:szCs w:val="24"/>
        </w:rPr>
        <w:t>.翻译研究（笔译）方向</w:t>
      </w:r>
    </w:p>
    <w:p>
      <w:pPr>
        <w:pStyle w:val="3"/>
        <w:adjustRightInd w:val="0"/>
        <w:snapToGrid w:val="0"/>
        <w:spacing w:before="0" w:beforeAutospacing="0" w:after="0" w:afterAutospacing="0" w:line="240" w:lineRule="auto"/>
        <w:rPr>
          <w:i/>
          <w:sz w:val="24"/>
          <w:szCs w:val="24"/>
        </w:rPr>
      </w:pPr>
      <w:r>
        <w:rPr>
          <w:i/>
          <w:kern w:val="2"/>
          <w:sz w:val="24"/>
          <w:szCs w:val="24"/>
        </w:rPr>
        <w:t>Jeremy Munday. Introducing Translation Studies: Theories and Applications. London &amp; New York: Routledge, 2016</w:t>
      </w:r>
      <w:r>
        <w:rPr>
          <w:rFonts w:hint="eastAsia"/>
          <w:i/>
          <w:kern w:val="2"/>
          <w:sz w:val="24"/>
          <w:szCs w:val="24"/>
        </w:rPr>
        <w:t>；</w:t>
      </w:r>
    </w:p>
    <w:p>
      <w:pPr>
        <w:pStyle w:val="2"/>
        <w:spacing w:before="2" w:line="240" w:lineRule="auto"/>
        <w:ind w:left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冯庆华：《实用翻译教程》（增订本）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 xml:space="preserve"> 上海：上海外语教育出版社，</w:t>
      </w:r>
      <w:r>
        <w:rPr>
          <w:rFonts w:ascii="宋体" w:hAnsi="宋体"/>
          <w:sz w:val="24"/>
          <w:szCs w:val="24"/>
        </w:rPr>
        <w:t>2002</w:t>
      </w:r>
      <w:r>
        <w:rPr>
          <w:rFonts w:hint="eastAsia" w:ascii="宋体" w:hAnsi="宋体"/>
          <w:sz w:val="24"/>
          <w:szCs w:val="24"/>
        </w:rPr>
        <w:t>年版</w:t>
      </w:r>
      <w:r>
        <w:rPr>
          <w:rFonts w:ascii="宋体" w:hAnsi="宋体"/>
          <w:sz w:val="24"/>
          <w:szCs w:val="24"/>
        </w:rPr>
        <w:t>;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pStyle w:val="2"/>
        <w:spacing w:before="2" w:line="240" w:lineRule="auto"/>
        <w:ind w:left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张培基：《英译中国现代散文选》</w:t>
      </w:r>
      <w:r>
        <w:rPr>
          <w:rFonts w:ascii="宋体" w:hAnsi="宋体"/>
          <w:sz w:val="24"/>
          <w:szCs w:val="24"/>
        </w:rPr>
        <w:t xml:space="preserve">. </w:t>
      </w:r>
      <w:r>
        <w:rPr>
          <w:rFonts w:hint="eastAsia" w:ascii="宋体" w:hAnsi="宋体"/>
          <w:sz w:val="24"/>
          <w:szCs w:val="24"/>
        </w:rPr>
        <w:t>上海：上海外语教育出版社，</w:t>
      </w:r>
      <w:r>
        <w:rPr>
          <w:rFonts w:ascii="宋体" w:hAnsi="宋体"/>
          <w:sz w:val="24"/>
          <w:szCs w:val="24"/>
        </w:rPr>
        <w:t>2007</w:t>
      </w:r>
      <w:r>
        <w:rPr>
          <w:rFonts w:hint="eastAsia" w:ascii="宋体" w:hAnsi="宋体"/>
          <w:sz w:val="24"/>
          <w:szCs w:val="24"/>
        </w:rPr>
        <w:t>年版。</w:t>
      </w:r>
    </w:p>
    <w:p>
      <w:pPr>
        <w:pStyle w:val="3"/>
        <w:adjustRightInd w:val="0"/>
        <w:snapToGrid w:val="0"/>
        <w:spacing w:before="0" w:beforeAutospacing="0" w:after="0" w:afterAutospacing="0" w:line="240" w:lineRule="auto"/>
        <w:rPr>
          <w:sz w:val="24"/>
          <w:szCs w:val="24"/>
        </w:rPr>
      </w:pPr>
    </w:p>
    <w:p>
      <w:pPr>
        <w:pStyle w:val="3"/>
        <w:adjustRightInd w:val="0"/>
        <w:snapToGrid w:val="0"/>
        <w:spacing w:before="0" w:beforeAutospacing="0" w:after="0" w:afterAutospacing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5</w:t>
      </w:r>
      <w:r>
        <w:rPr>
          <w:rFonts w:hint="eastAsia" w:cs="Times New Roman"/>
          <w:b/>
          <w:sz w:val="24"/>
          <w:szCs w:val="24"/>
        </w:rPr>
        <w:t>.翻译研究（口译）方向</w:t>
      </w:r>
    </w:p>
    <w:p>
      <w:pPr>
        <w:widowControl/>
        <w:adjustRightInd w:val="0"/>
        <w:snapToGrid w:val="0"/>
        <w:spacing w:line="240" w:lineRule="auto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弗朗兹•波赫哈克:《口译研究概论(第二版)》(仲伟合等译)，北京：外语教学与研究出版社，2021年；</w:t>
      </w:r>
    </w:p>
    <w:p>
      <w:pPr>
        <w:widowControl/>
        <w:adjustRightInd w:val="0"/>
        <w:snapToGrid w:val="0"/>
        <w:spacing w:line="240" w:lineRule="auto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江晓梅：《英汉口译理论与实践》，武汉：武汉大学出版社，2013；</w:t>
      </w:r>
    </w:p>
    <w:p>
      <w:pPr>
        <w:widowControl/>
        <w:adjustRightInd w:val="0"/>
        <w:snapToGrid w:val="0"/>
        <w:spacing w:line="240" w:lineRule="auto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吴远宁：《口译研究：理论与实践》，长沙：中南大学出版社，2015；</w:t>
      </w:r>
    </w:p>
    <w:p>
      <w:pPr>
        <w:widowControl/>
        <w:adjustRightInd w:val="0"/>
        <w:snapToGrid w:val="0"/>
        <w:spacing w:line="240" w:lineRule="auto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梅德明：《高级口译教程》，上海：上海外语教育出版社，2020年版。</w:t>
      </w:r>
    </w:p>
    <w:p>
      <w:pPr>
        <w:widowControl/>
        <w:adjustRightInd w:val="0"/>
        <w:snapToGrid w:val="0"/>
        <w:spacing w:line="240" w:lineRule="auto"/>
        <w:jc w:val="left"/>
        <w:rPr>
          <w:rFonts w:ascii="宋体" w:hAnsi="宋体" w:eastAsia="宋体"/>
          <w:kern w:val="0"/>
          <w:sz w:val="24"/>
          <w:szCs w:val="24"/>
        </w:rPr>
      </w:pPr>
    </w:p>
    <w:p>
      <w:pPr>
        <w:widowControl/>
        <w:spacing w:line="240" w:lineRule="auto"/>
        <w:jc w:val="left"/>
        <w:rPr>
          <w:rFonts w:ascii="宋体" w:hAnsi="宋体" w:eastAsia="宋体"/>
          <w:b/>
          <w:kern w:val="0"/>
          <w:sz w:val="24"/>
          <w:szCs w:val="24"/>
        </w:rPr>
      </w:pPr>
      <w:r>
        <w:rPr>
          <w:rFonts w:ascii="宋体" w:hAnsi="宋体" w:eastAsia="宋体"/>
          <w:b/>
          <w:kern w:val="0"/>
          <w:sz w:val="24"/>
          <w:szCs w:val="24"/>
        </w:rPr>
        <w:t>6.</w:t>
      </w:r>
      <w:r>
        <w:rPr>
          <w:rFonts w:hint="eastAsia" w:ascii="宋体" w:hAnsi="宋体" w:eastAsia="宋体"/>
          <w:b/>
          <w:kern w:val="0"/>
          <w:sz w:val="24"/>
          <w:szCs w:val="24"/>
        </w:rPr>
        <w:t>英国研究方向</w:t>
      </w:r>
    </w:p>
    <w:p>
      <w:pPr>
        <w:spacing w:line="24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i/>
          <w:sz w:val="24"/>
          <w:szCs w:val="24"/>
        </w:rPr>
        <w:t>The Oxford History of Britain</w:t>
      </w:r>
      <w:r>
        <w:rPr>
          <w:rFonts w:ascii="宋体" w:hAnsi="宋体" w:eastAsia="宋体"/>
          <w:sz w:val="24"/>
          <w:szCs w:val="24"/>
        </w:rPr>
        <w:t xml:space="preserve">. By Kenneth O. Morgan(Ed.) </w:t>
      </w:r>
      <w:r>
        <w:rPr>
          <w:rFonts w:hint="eastAsia" w:ascii="宋体" w:hAnsi="宋体" w:eastAsia="宋体"/>
          <w:sz w:val="24"/>
          <w:szCs w:val="24"/>
        </w:rPr>
        <w:t>钟美荪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注释，外语教学与研究出版社，</w:t>
      </w:r>
      <w:r>
        <w:rPr>
          <w:rFonts w:ascii="宋体" w:hAnsi="宋体" w:eastAsia="宋体"/>
          <w:sz w:val="24"/>
          <w:szCs w:val="24"/>
        </w:rPr>
        <w:t>2007</w:t>
      </w:r>
      <w:r>
        <w:rPr>
          <w:rFonts w:hint="eastAsia" w:ascii="宋体" w:hAnsi="宋体" w:eastAsia="宋体"/>
          <w:sz w:val="24"/>
          <w:szCs w:val="24"/>
        </w:rPr>
        <w:t>年。</w:t>
      </w:r>
    </w:p>
    <w:p>
      <w:pPr>
        <w:spacing w:line="24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《在传统与变革之间——英国文化模式溯源》，钱乘旦、陈晓律著，江苏人民出版社，</w:t>
      </w:r>
      <w:r>
        <w:rPr>
          <w:rFonts w:ascii="宋体" w:hAnsi="宋体" w:eastAsia="宋体"/>
          <w:sz w:val="24"/>
          <w:szCs w:val="24"/>
        </w:rPr>
        <w:t>2010</w:t>
      </w:r>
      <w:r>
        <w:rPr>
          <w:rFonts w:hint="eastAsia" w:ascii="宋体" w:hAnsi="宋体" w:eastAsia="宋体"/>
          <w:sz w:val="24"/>
          <w:szCs w:val="24"/>
        </w:rPr>
        <w:t>年。</w:t>
      </w:r>
    </w:p>
    <w:p>
      <w:pPr>
        <w:spacing w:line="24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《当代英国政治》，比尔·考克瑟等著，孔新峰译，北京大学出版社，</w:t>
      </w:r>
      <w:r>
        <w:rPr>
          <w:rFonts w:ascii="宋体" w:hAnsi="宋体" w:eastAsia="宋体"/>
          <w:sz w:val="24"/>
          <w:szCs w:val="24"/>
        </w:rPr>
        <w:t>2009</w:t>
      </w:r>
      <w:r>
        <w:rPr>
          <w:rFonts w:hint="eastAsia" w:ascii="宋体" w:hAnsi="宋体" w:eastAsia="宋体"/>
          <w:sz w:val="24"/>
          <w:szCs w:val="24"/>
        </w:rPr>
        <w:t>年；</w:t>
      </w:r>
    </w:p>
    <w:p>
      <w:pPr>
        <w:spacing w:line="24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tabs>
          <w:tab w:val="left" w:pos="312"/>
        </w:tabs>
        <w:spacing w:line="240" w:lineRule="auto"/>
        <w:jc w:val="left"/>
        <w:rPr>
          <w:rFonts w:ascii="宋体" w:hAnsi="宋体" w:eastAsia="宋体"/>
          <w:b/>
          <w:kern w:val="0"/>
          <w:sz w:val="24"/>
          <w:szCs w:val="24"/>
        </w:rPr>
      </w:pPr>
      <w:r>
        <w:rPr>
          <w:rFonts w:hint="eastAsia" w:ascii="宋体" w:hAnsi="宋体" w:eastAsia="宋体"/>
          <w:b/>
          <w:kern w:val="0"/>
          <w:sz w:val="24"/>
          <w:szCs w:val="24"/>
        </w:rPr>
        <w:t>7</w:t>
      </w:r>
      <w:r>
        <w:rPr>
          <w:rFonts w:ascii="宋体" w:hAnsi="宋体" w:eastAsia="宋体"/>
          <w:b/>
          <w:kern w:val="0"/>
          <w:sz w:val="24"/>
          <w:szCs w:val="24"/>
        </w:rPr>
        <w:t>.</w:t>
      </w:r>
      <w:r>
        <w:rPr>
          <w:rFonts w:hint="eastAsia" w:ascii="宋体" w:hAnsi="宋体" w:eastAsia="宋体"/>
          <w:b/>
          <w:kern w:val="0"/>
          <w:sz w:val="24"/>
          <w:szCs w:val="24"/>
        </w:rPr>
        <w:t>美国研究方向</w:t>
      </w:r>
    </w:p>
    <w:p>
      <w:pPr>
        <w:widowControl/>
        <w:spacing w:line="240" w:lineRule="auto"/>
        <w:jc w:val="left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王恩铭：《美国社会与文化》，上海外语教育出版社，2014（新版）；</w:t>
      </w:r>
    </w:p>
    <w:p>
      <w:pPr>
        <w:spacing w:line="24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王恩铭主编：《英语国家概况》，上海外语教育出版社，2008年版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pacing w:line="24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Shi, David E. &amp; Tindall, George. America</w:t>
      </w:r>
      <w:r>
        <w:rPr>
          <w:rFonts w:hint="eastAsia" w:ascii="宋体" w:hAnsi="宋体" w:eastAsia="宋体"/>
          <w:i/>
          <w:iCs/>
          <w:sz w:val="24"/>
          <w:szCs w:val="24"/>
        </w:rPr>
        <w:t>: A Narrative History</w:t>
      </w:r>
      <w:r>
        <w:rPr>
          <w:rFonts w:hint="eastAsia" w:ascii="宋体" w:hAnsi="宋体" w:eastAsia="宋体"/>
          <w:sz w:val="24"/>
          <w:szCs w:val="24"/>
        </w:rPr>
        <w:t xml:space="preserve">, 10th edition, New York: W.W.Norton &amp; Company, 2016. </w:t>
      </w:r>
    </w:p>
    <w:p>
      <w:pPr>
        <w:spacing w:line="24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240" w:lineRule="auto"/>
        <w:ind w:left="4006" w:hanging="4578" w:hangingChars="1900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8</w:t>
      </w:r>
      <w:r>
        <w:rPr>
          <w:rFonts w:ascii="宋体" w:hAnsi="宋体" w:eastAsia="宋体"/>
          <w:b/>
          <w:sz w:val="24"/>
          <w:szCs w:val="24"/>
        </w:rPr>
        <w:t>.比较文学方向</w:t>
      </w:r>
    </w:p>
    <w:p>
      <w:pPr>
        <w:spacing w:line="240" w:lineRule="auto"/>
        <w:jc w:val="left"/>
        <w:rPr>
          <w:rFonts w:ascii="宋体" w:hAnsi="宋体" w:eastAsia="宋体"/>
          <w:kern w:val="0"/>
          <w:sz w:val="24"/>
          <w:szCs w:val="24"/>
        </w:rPr>
      </w:pPr>
      <w:r>
        <w:rPr>
          <w:rFonts w:ascii="宋体" w:hAnsi="宋体" w:eastAsia="宋体"/>
          <w:kern w:val="0"/>
          <w:sz w:val="24"/>
          <w:szCs w:val="24"/>
          <w:lang w:val="fr-FR"/>
        </w:rPr>
        <w:t xml:space="preserve">Wellek, René &amp; Austin Warren. </w:t>
      </w:r>
      <w:r>
        <w:rPr>
          <w:rFonts w:ascii="宋体" w:hAnsi="宋体" w:eastAsia="宋体"/>
          <w:i/>
          <w:kern w:val="0"/>
          <w:sz w:val="24"/>
          <w:szCs w:val="24"/>
        </w:rPr>
        <w:t>Theory of Literature</w:t>
      </w:r>
      <w:r>
        <w:rPr>
          <w:rFonts w:ascii="宋体" w:hAnsi="宋体" w:eastAsia="宋体"/>
          <w:kern w:val="0"/>
          <w:sz w:val="24"/>
          <w:szCs w:val="24"/>
        </w:rPr>
        <w:t>.</w:t>
      </w:r>
      <w:r>
        <w:rPr>
          <w:rFonts w:hint="eastAsia" w:ascii="宋体" w:hAnsi="宋体" w:eastAsia="宋体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kern w:val="0"/>
          <w:sz w:val="24"/>
          <w:szCs w:val="24"/>
        </w:rPr>
        <w:t>San Diego: Harcourt Brace Jovanovich, 1977</w:t>
      </w:r>
      <w:r>
        <w:rPr>
          <w:rFonts w:hint="eastAsia" w:ascii="宋体" w:hAnsi="宋体" w:eastAsia="宋体"/>
          <w:kern w:val="0"/>
          <w:sz w:val="24"/>
          <w:szCs w:val="24"/>
        </w:rPr>
        <w:t>;</w:t>
      </w:r>
    </w:p>
    <w:p>
      <w:pPr>
        <w:spacing w:line="240" w:lineRule="auto"/>
        <w:jc w:val="left"/>
        <w:rPr>
          <w:rFonts w:ascii="宋体" w:hAnsi="宋体" w:eastAsia="宋体"/>
          <w:kern w:val="0"/>
          <w:sz w:val="24"/>
          <w:szCs w:val="24"/>
        </w:rPr>
      </w:pPr>
      <w:r>
        <w:rPr>
          <w:rFonts w:ascii="宋体" w:hAnsi="宋体" w:eastAsia="宋体"/>
          <w:kern w:val="0"/>
          <w:sz w:val="24"/>
          <w:szCs w:val="24"/>
        </w:rPr>
        <w:t>陈惇、刘象愚主编：《比较文学概论》（第2版），北京：北京师范大学出版社，2010年</w:t>
      </w:r>
      <w:r>
        <w:rPr>
          <w:rFonts w:hint="eastAsia" w:ascii="宋体" w:hAnsi="宋体" w:eastAsia="宋体"/>
          <w:kern w:val="0"/>
          <w:sz w:val="24"/>
          <w:szCs w:val="24"/>
        </w:rPr>
        <w:t>；</w:t>
      </w:r>
    </w:p>
    <w:p>
      <w:pPr>
        <w:spacing w:line="240" w:lineRule="auto"/>
        <w:jc w:val="left"/>
        <w:rPr>
          <w:rFonts w:ascii="宋体" w:hAnsi="宋体" w:eastAsia="宋体"/>
          <w:kern w:val="0"/>
          <w:sz w:val="24"/>
          <w:szCs w:val="24"/>
        </w:rPr>
      </w:pPr>
      <w:r>
        <w:rPr>
          <w:rFonts w:ascii="宋体" w:hAnsi="宋体" w:eastAsia="宋体"/>
          <w:kern w:val="0"/>
          <w:sz w:val="24"/>
          <w:szCs w:val="24"/>
        </w:rPr>
        <w:t>吴伟仁编：</w:t>
      </w:r>
      <w:r>
        <w:rPr>
          <w:rFonts w:ascii="宋体" w:hAnsi="宋体" w:eastAsia="宋体"/>
          <w:i/>
          <w:kern w:val="0"/>
          <w:sz w:val="24"/>
          <w:szCs w:val="24"/>
        </w:rPr>
        <w:t>History and Anthology of American Literature</w:t>
      </w:r>
      <w:r>
        <w:rPr>
          <w:rFonts w:ascii="宋体" w:hAnsi="宋体" w:eastAsia="宋体"/>
          <w:kern w:val="0"/>
          <w:sz w:val="24"/>
          <w:szCs w:val="24"/>
        </w:rPr>
        <w:t>（第一、二册），北京：外语教学与研究出版社；</w:t>
      </w:r>
    </w:p>
    <w:p>
      <w:pPr>
        <w:spacing w:line="240" w:lineRule="auto"/>
        <w:jc w:val="left"/>
        <w:rPr>
          <w:rFonts w:ascii="宋体" w:hAnsi="宋体" w:eastAsia="宋体"/>
          <w:kern w:val="0"/>
          <w:sz w:val="24"/>
          <w:szCs w:val="24"/>
        </w:rPr>
      </w:pPr>
      <w:r>
        <w:rPr>
          <w:rFonts w:ascii="宋体" w:hAnsi="宋体" w:eastAsia="宋体"/>
          <w:kern w:val="0"/>
          <w:sz w:val="24"/>
          <w:szCs w:val="24"/>
        </w:rPr>
        <w:t>吴伟仁编：</w:t>
      </w:r>
      <w:r>
        <w:rPr>
          <w:rFonts w:ascii="宋体" w:hAnsi="宋体" w:eastAsia="宋体"/>
          <w:i/>
          <w:kern w:val="0"/>
          <w:sz w:val="24"/>
          <w:szCs w:val="24"/>
        </w:rPr>
        <w:t>History and Anthology of English Literature</w:t>
      </w:r>
      <w:r>
        <w:rPr>
          <w:rFonts w:ascii="宋体" w:hAnsi="宋体" w:eastAsia="宋体"/>
          <w:kern w:val="0"/>
          <w:sz w:val="24"/>
          <w:szCs w:val="24"/>
        </w:rPr>
        <w:t>（第一、二册），北京：外语教学与研究出版社，1988年</w:t>
      </w:r>
      <w:r>
        <w:rPr>
          <w:rFonts w:hint="eastAsia" w:ascii="宋体" w:hAnsi="宋体" w:eastAsia="宋体"/>
          <w:kern w:val="0"/>
          <w:sz w:val="24"/>
          <w:szCs w:val="24"/>
        </w:rPr>
        <w:t>；</w:t>
      </w:r>
    </w:p>
    <w:p>
      <w:pPr>
        <w:spacing w:line="240" w:lineRule="auto"/>
        <w:jc w:val="left"/>
        <w:rPr>
          <w:rFonts w:ascii="宋体" w:hAnsi="宋体" w:eastAsia="宋体"/>
          <w:kern w:val="0"/>
          <w:sz w:val="24"/>
          <w:szCs w:val="24"/>
        </w:rPr>
      </w:pPr>
      <w:r>
        <w:rPr>
          <w:rFonts w:ascii="宋体" w:hAnsi="宋体" w:eastAsia="宋体"/>
          <w:kern w:val="0"/>
          <w:sz w:val="24"/>
          <w:szCs w:val="24"/>
        </w:rPr>
        <w:t>郑克鲁主编：《外国文学史》（上、下，修订版），北京：高等教育出版社，2006年</w:t>
      </w:r>
      <w:r>
        <w:rPr>
          <w:rFonts w:hint="eastAsia" w:ascii="宋体" w:hAnsi="宋体" w:eastAsia="宋体"/>
          <w:kern w:val="0"/>
          <w:sz w:val="24"/>
          <w:szCs w:val="24"/>
        </w:rPr>
        <w:t>；</w:t>
      </w:r>
    </w:p>
    <w:p>
      <w:pPr>
        <w:spacing w:line="240" w:lineRule="auto"/>
        <w:jc w:val="left"/>
        <w:rPr>
          <w:rFonts w:ascii="宋体" w:hAnsi="宋体" w:eastAsia="宋体"/>
          <w:kern w:val="0"/>
          <w:sz w:val="24"/>
          <w:szCs w:val="24"/>
        </w:rPr>
      </w:pPr>
      <w:r>
        <w:rPr>
          <w:rFonts w:ascii="宋体" w:hAnsi="宋体" w:eastAsia="宋体"/>
          <w:kern w:val="0"/>
          <w:sz w:val="24"/>
          <w:szCs w:val="24"/>
        </w:rPr>
        <w:t>石观海编：《中国文学简史》，武汉：武汉大学出版社，2007年</w:t>
      </w:r>
      <w:r>
        <w:rPr>
          <w:rFonts w:hint="eastAsia" w:ascii="宋体" w:hAnsi="宋体" w:eastAsia="宋体"/>
          <w:kern w:val="0"/>
          <w:sz w:val="24"/>
          <w:szCs w:val="24"/>
        </w:rPr>
        <w:t>；</w:t>
      </w:r>
    </w:p>
    <w:p>
      <w:pPr>
        <w:spacing w:line="240" w:lineRule="auto"/>
        <w:jc w:val="left"/>
        <w:rPr>
          <w:rFonts w:ascii="宋体" w:hAnsi="宋体" w:eastAsia="宋体"/>
          <w:kern w:val="0"/>
          <w:sz w:val="24"/>
          <w:szCs w:val="24"/>
        </w:rPr>
      </w:pPr>
      <w:r>
        <w:rPr>
          <w:rFonts w:ascii="宋体" w:hAnsi="宋体" w:eastAsia="宋体"/>
          <w:kern w:val="0"/>
          <w:sz w:val="24"/>
          <w:szCs w:val="24"/>
        </w:rPr>
        <w:t>杨剑龙、钱虹编：《中国现当代文学简史》，上海：华东师范大学出版社，2006年。</w:t>
      </w:r>
    </w:p>
    <w:p>
      <w:pPr>
        <w:overflowPunct w:val="0"/>
        <w:autoSpaceDE w:val="0"/>
        <w:autoSpaceDN w:val="0"/>
        <w:adjustRightInd w:val="0"/>
        <w:spacing w:line="240" w:lineRule="auto"/>
        <w:ind w:right="1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查明建: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ascii="宋体" w:hAnsi="宋体" w:eastAsia="宋体" w:cs="宋体"/>
          <w:sz w:val="24"/>
          <w:szCs w:val="24"/>
        </w:rPr>
        <w:t>一苇杭之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"https://www.amazon.cn/%E4%B8%80%E8%8B%87%E6%9D%AD%E4%B9%8B-%E6%9F%A5%E6%98%8E%E5%BB%BA/dp/B00UHGAGLA/ref=sr_1_3?ie=UTF8&amp;qid=1468078943&amp;sr=8-3&amp;keywords=%E6%9F%A5%E6%98%8E%E5%BB%BA" \t "_blank" \o "一苇杭之 (比较文学与世界文学名家讲堂)" </w:instrText>
      </w:r>
      <w:r>
        <w:rPr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t xml:space="preserve"> (比较文学与世界文学名家讲堂)</w:t>
      </w:r>
      <w:r>
        <w:rPr>
          <w:rFonts w:hint="eastAsia" w:ascii="宋体" w:hAnsi="宋体" w:eastAsia="宋体" w:cs="宋体"/>
          <w:sz w:val="24"/>
          <w:szCs w:val="24"/>
        </w:rPr>
        <w:t>,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北京：中央编译出版社，</w:t>
      </w:r>
      <w:r>
        <w:rPr>
          <w:rFonts w:ascii="宋体" w:hAnsi="宋体" w:eastAsia="宋体" w:cs="Times New Roman"/>
          <w:sz w:val="24"/>
          <w:szCs w:val="24"/>
        </w:rPr>
        <w:t>2015</w:t>
      </w:r>
      <w:r>
        <w:rPr>
          <w:rFonts w:hint="eastAsia" w:ascii="宋体" w:hAnsi="宋体" w:eastAsia="宋体" w:cs="宋体"/>
          <w:sz w:val="24"/>
          <w:szCs w:val="24"/>
        </w:rPr>
        <w:t>年。</w:t>
      </w:r>
    </w:p>
    <w:p>
      <w:pPr>
        <w:widowControl/>
        <w:spacing w:line="240" w:lineRule="auto"/>
        <w:ind w:left="-3990" w:leftChars="-1900"/>
        <w:jc w:val="left"/>
        <w:rPr>
          <w:rFonts w:ascii="宋体" w:hAnsi="宋体" w:eastAsia="宋体"/>
          <w:b/>
          <w:kern w:val="0"/>
          <w:sz w:val="24"/>
          <w:szCs w:val="24"/>
        </w:rPr>
      </w:pPr>
    </w:p>
    <w:p>
      <w:pPr>
        <w:widowControl/>
        <w:spacing w:line="240" w:lineRule="auto"/>
        <w:ind w:left="4006" w:hanging="4578" w:hangingChars="1900"/>
        <w:jc w:val="left"/>
        <w:rPr>
          <w:rFonts w:ascii="宋体" w:hAnsi="宋体" w:eastAsia="宋体"/>
          <w:b/>
          <w:kern w:val="0"/>
          <w:sz w:val="24"/>
          <w:szCs w:val="24"/>
        </w:rPr>
      </w:pPr>
      <w:r>
        <w:rPr>
          <w:rFonts w:hint="eastAsia" w:ascii="宋体" w:hAnsi="宋体" w:eastAsia="宋体"/>
          <w:b/>
          <w:kern w:val="0"/>
          <w:sz w:val="24"/>
          <w:szCs w:val="24"/>
        </w:rPr>
        <w:t>9.</w:t>
      </w:r>
      <w:r>
        <w:rPr>
          <w:rFonts w:ascii="宋体" w:hAnsi="宋体" w:eastAsia="宋体"/>
          <w:b/>
          <w:kern w:val="0"/>
          <w:sz w:val="24"/>
          <w:szCs w:val="24"/>
        </w:rPr>
        <w:t>跨文化</w:t>
      </w:r>
      <w:r>
        <w:rPr>
          <w:rFonts w:hint="eastAsia" w:ascii="宋体" w:hAnsi="宋体" w:eastAsia="宋体"/>
          <w:b/>
          <w:kern w:val="0"/>
          <w:sz w:val="24"/>
          <w:szCs w:val="24"/>
        </w:rPr>
        <w:t>交际</w:t>
      </w:r>
      <w:r>
        <w:rPr>
          <w:rFonts w:ascii="宋体" w:hAnsi="宋体" w:eastAsia="宋体"/>
          <w:b/>
          <w:kern w:val="0"/>
          <w:sz w:val="24"/>
          <w:szCs w:val="24"/>
        </w:rPr>
        <w:t>方向</w:t>
      </w:r>
    </w:p>
    <w:p>
      <w:pPr>
        <w:widowControl/>
        <w:numPr>
          <w:ilvl w:val="-1"/>
          <w:numId w:val="0"/>
        </w:numPr>
        <w:spacing w:after="200" w:line="240" w:lineRule="auto"/>
        <w:ind w:left="0" w:firstLine="0"/>
        <w:contextualSpacing/>
        <w:jc w:val="left"/>
        <w:rPr>
          <w:rStyle w:val="7"/>
          <w:rFonts w:ascii="Times New Roman" w:hAnsi="Times New Roman" w:eastAsia="宋体" w:cs="Times New Roman"/>
          <w:sz w:val="24"/>
          <w:szCs w:val="24"/>
          <w:lang w:val="zh-TW"/>
        </w:rPr>
      </w:pPr>
      <w:r>
        <w:rPr>
          <w:rStyle w:val="7"/>
          <w:rFonts w:ascii="Times New Roman" w:hAnsi="Times New Roman" w:eastAsia="宋体" w:cs="Times New Roman"/>
          <w:sz w:val="24"/>
          <w:szCs w:val="24"/>
        </w:rPr>
        <w:t xml:space="preserve">Martin, J. N., &amp; Nakayama, T. K. (2017). </w:t>
      </w:r>
      <w:r>
        <w:rPr>
          <w:rStyle w:val="7"/>
          <w:rFonts w:ascii="Times New Roman Italic" w:hAnsi="Times New Roman Italic" w:eastAsia="宋体" w:cs="Times New Roman Italic"/>
          <w:i/>
          <w:iCs/>
          <w:sz w:val="24"/>
          <w:szCs w:val="24"/>
        </w:rPr>
        <w:t>Intercultural communication in contexts</w:t>
      </w:r>
      <w:r>
        <w:rPr>
          <w:rStyle w:val="7"/>
          <w:rFonts w:ascii="Times New Roman" w:hAnsi="Times New Roman" w:eastAsia="宋体" w:cs="Times New Roman"/>
          <w:sz w:val="24"/>
          <w:szCs w:val="24"/>
        </w:rPr>
        <w:t xml:space="preserve"> (7</w:t>
      </w:r>
      <w:r>
        <w:rPr>
          <w:rStyle w:val="7"/>
          <w:rFonts w:ascii="Times New Roman" w:hAnsi="Times New Roman" w:eastAsia="宋体" w:cs="Times New Roman"/>
          <w:sz w:val="24"/>
          <w:szCs w:val="24"/>
          <w:vertAlign w:val="superscript"/>
        </w:rPr>
        <w:t>th</w:t>
      </w:r>
      <w:r>
        <w:rPr>
          <w:rStyle w:val="7"/>
          <w:rFonts w:ascii="Times New Roman" w:hAnsi="Times New Roman" w:eastAsia="宋体" w:cs="Times New Roman"/>
          <w:sz w:val="24"/>
          <w:szCs w:val="24"/>
        </w:rPr>
        <w:t xml:space="preserve"> ed.). McGraw-Hill. </w:t>
      </w:r>
    </w:p>
    <w:p>
      <w:pPr>
        <w:widowControl/>
        <w:numPr>
          <w:ilvl w:val="-1"/>
          <w:numId w:val="0"/>
        </w:numPr>
        <w:spacing w:after="200" w:line="240" w:lineRule="auto"/>
        <w:ind w:left="0" w:firstLine="0"/>
        <w:contextualSpacing/>
        <w:jc w:val="left"/>
        <w:rPr>
          <w:rStyle w:val="7"/>
          <w:rFonts w:ascii="Times New Roman" w:hAnsi="Times New Roman" w:eastAsia="宋体" w:cs="Times New Roman"/>
          <w:sz w:val="24"/>
          <w:szCs w:val="24"/>
          <w:lang w:val="zh-TW"/>
        </w:rPr>
      </w:pPr>
      <w:r>
        <w:rPr>
          <w:rStyle w:val="7"/>
          <w:rFonts w:hint="eastAsia" w:ascii="Times New Roman" w:hAnsi="Times New Roman" w:eastAsia="宋体" w:cs="Times New Roman"/>
          <w:sz w:val="24"/>
          <w:szCs w:val="24"/>
        </w:rPr>
        <w:t>Fitzpatrick</w:t>
      </w:r>
      <w:r>
        <w:rPr>
          <w:rStyle w:val="7"/>
          <w:rFonts w:ascii="Times New Roman" w:hAnsi="Times New Roman" w:eastAsia="宋体" w:cs="Times New Roman"/>
          <w:sz w:val="24"/>
          <w:szCs w:val="24"/>
        </w:rPr>
        <w:t xml:space="preserve">, F. (2020). </w:t>
      </w:r>
      <w:r>
        <w:rPr>
          <w:rStyle w:val="7"/>
          <w:rFonts w:ascii="Times New Roman Italic" w:hAnsi="Times New Roman Italic" w:eastAsia="宋体" w:cs="Times New Roman Italic"/>
          <w:i/>
          <w:iCs/>
          <w:sz w:val="24"/>
          <w:szCs w:val="24"/>
          <w:lang w:val="zh-TW"/>
        </w:rPr>
        <w:t xml:space="preserve">Understanding </w:t>
      </w:r>
      <w:r>
        <w:rPr>
          <w:rStyle w:val="7"/>
          <w:rFonts w:ascii="Times New Roman Italic" w:hAnsi="Times New Roman Italic" w:eastAsia="宋体" w:cs="Times New Roman Italic"/>
          <w:i/>
          <w:iCs/>
          <w:sz w:val="24"/>
          <w:szCs w:val="24"/>
        </w:rPr>
        <w:t>I</w:t>
      </w:r>
      <w:r>
        <w:rPr>
          <w:rStyle w:val="7"/>
          <w:rFonts w:ascii="Times New Roman Italic" w:hAnsi="Times New Roman Italic" w:eastAsia="宋体" w:cs="Times New Roman Italic"/>
          <w:i/>
          <w:iCs/>
          <w:sz w:val="24"/>
          <w:szCs w:val="24"/>
          <w:lang w:val="zh-TW"/>
        </w:rPr>
        <w:t xml:space="preserve">ntercultural </w:t>
      </w:r>
      <w:r>
        <w:rPr>
          <w:rStyle w:val="7"/>
          <w:rFonts w:ascii="Times New Roman Italic" w:hAnsi="Times New Roman Italic" w:eastAsia="宋体" w:cs="Times New Roman Italic"/>
          <w:i/>
          <w:iCs/>
          <w:sz w:val="24"/>
          <w:szCs w:val="24"/>
        </w:rPr>
        <w:t>I</w:t>
      </w:r>
      <w:r>
        <w:rPr>
          <w:rStyle w:val="7"/>
          <w:rFonts w:ascii="Times New Roman Italic" w:hAnsi="Times New Roman Italic" w:eastAsia="宋体" w:cs="Times New Roman Italic"/>
          <w:i/>
          <w:iCs/>
          <w:sz w:val="24"/>
          <w:szCs w:val="24"/>
          <w:lang w:val="zh-TW"/>
        </w:rPr>
        <w:t>nteraction: An analysis of key concepts.</w:t>
      </w:r>
      <w:r>
        <w:rPr>
          <w:rStyle w:val="7"/>
          <w:rFonts w:hint="eastAsia" w:ascii="Times New Roman" w:hAnsi="Times New Roman" w:eastAsia="宋体" w:cs="Times New Roman"/>
          <w:sz w:val="24"/>
          <w:szCs w:val="24"/>
          <w:lang w:val="zh-TW"/>
        </w:rPr>
        <w:t xml:space="preserve"> Emerald</w:t>
      </w:r>
      <w:r>
        <w:rPr>
          <w:rStyle w:val="7"/>
          <w:rFonts w:ascii="Times New Roman" w:hAnsi="Times New Roman" w:eastAsia="宋体" w:cs="Times New Roman"/>
          <w:sz w:val="24"/>
          <w:szCs w:val="24"/>
        </w:rPr>
        <w:t xml:space="preserve"> Publishing</w:t>
      </w:r>
      <w:r>
        <w:rPr>
          <w:rStyle w:val="7"/>
          <w:rFonts w:hint="eastAsia" w:ascii="Times New Roman" w:hAnsi="Times New Roman" w:eastAsia="宋体" w:cs="Times New Roman"/>
          <w:sz w:val="24"/>
          <w:szCs w:val="24"/>
          <w:lang w:val="zh-TW"/>
        </w:rPr>
        <w:t>.</w:t>
      </w:r>
    </w:p>
    <w:p>
      <w:pPr>
        <w:widowControl/>
        <w:numPr>
          <w:ilvl w:val="-1"/>
          <w:numId w:val="0"/>
        </w:numPr>
        <w:spacing w:after="200" w:line="240" w:lineRule="auto"/>
        <w:ind w:left="0" w:firstLine="0"/>
        <w:contextualSpacing/>
        <w:jc w:val="left"/>
        <w:rPr>
          <w:rStyle w:val="7"/>
          <w:rFonts w:ascii="Times New Roman" w:hAnsi="Times New Roman" w:eastAsia="宋体" w:cs="Times New Roman"/>
          <w:sz w:val="24"/>
          <w:szCs w:val="24"/>
          <w:lang w:val="zh-TW"/>
        </w:rPr>
      </w:pPr>
      <w:r>
        <w:rPr>
          <w:rStyle w:val="7"/>
          <w:rFonts w:hint="eastAsia" w:ascii="Times New Roman" w:hAnsi="Times New Roman" w:eastAsia="宋体" w:cs="Times New Roman"/>
          <w:sz w:val="24"/>
          <w:szCs w:val="24"/>
        </w:rPr>
        <w:t>翁立平</w:t>
      </w:r>
      <w:r>
        <w:rPr>
          <w:rStyle w:val="7"/>
          <w:rFonts w:ascii="Times New Roman" w:hAnsi="Times New Roman" w:eastAsia="宋体" w:cs="Times New Roman"/>
          <w:sz w:val="24"/>
          <w:szCs w:val="24"/>
        </w:rPr>
        <w:t>:</w:t>
      </w:r>
      <w:r>
        <w:rPr>
          <w:rStyle w:val="7"/>
          <w:rFonts w:hint="eastAsia" w:ascii="Times New Roman" w:hAnsi="Times New Roman" w:eastAsia="宋体" w:cs="Times New Roman"/>
          <w:sz w:val="24"/>
          <w:szCs w:val="24"/>
          <w:lang w:val="zh-TW"/>
        </w:rPr>
        <w:t>《</w:t>
      </w:r>
      <w:r>
        <w:rPr>
          <w:rStyle w:val="7"/>
          <w:rFonts w:hint="eastAsia" w:ascii="Times New Roman" w:hAnsi="Times New Roman" w:eastAsia="宋体" w:cs="Times New Roman"/>
          <w:sz w:val="24"/>
          <w:szCs w:val="24"/>
        </w:rPr>
        <w:t>什么是跨文化交际学</w:t>
      </w:r>
      <w:r>
        <w:rPr>
          <w:rStyle w:val="7"/>
          <w:rFonts w:ascii="Times New Roman" w:hAnsi="Times New Roman" w:eastAsia="宋体" w:cs="Times New Roman"/>
          <w:sz w:val="24"/>
          <w:szCs w:val="24"/>
        </w:rPr>
        <w:t xml:space="preserve">》, </w:t>
      </w:r>
      <w:r>
        <w:rPr>
          <w:rStyle w:val="7"/>
          <w:rFonts w:hint="eastAsia" w:ascii="Times New Roman" w:hAnsi="Times New Roman" w:eastAsia="宋体" w:cs="Times New Roman"/>
          <w:sz w:val="24"/>
          <w:szCs w:val="24"/>
          <w:lang w:eastAsia="zh-Hans"/>
        </w:rPr>
        <w:t>上海外语教育出版社</w:t>
      </w:r>
      <w:r>
        <w:rPr>
          <w:rStyle w:val="7"/>
          <w:rFonts w:ascii="Times New Roman" w:hAnsi="Times New Roman" w:eastAsia="宋体" w:cs="Times New Roman"/>
          <w:sz w:val="24"/>
          <w:szCs w:val="24"/>
          <w:lang w:eastAsia="zh-Hans"/>
        </w:rPr>
        <w:t>，2021</w:t>
      </w:r>
      <w:r>
        <w:rPr>
          <w:rStyle w:val="7"/>
          <w:rFonts w:hint="eastAsia" w:ascii="Times New Roman" w:hAnsi="Times New Roman" w:eastAsia="宋体" w:cs="Times New Roman"/>
          <w:sz w:val="24"/>
          <w:szCs w:val="24"/>
          <w:lang w:eastAsia="zh-Hans"/>
        </w:rPr>
        <w:t>年</w:t>
      </w:r>
      <w:r>
        <w:rPr>
          <w:rStyle w:val="7"/>
          <w:rFonts w:ascii="Times New Roman" w:hAnsi="Times New Roman" w:eastAsia="宋体" w:cs="Times New Roman"/>
          <w:sz w:val="24"/>
          <w:szCs w:val="24"/>
          <w:lang w:eastAsia="zh-Hans"/>
        </w:rPr>
        <w:t>.</w:t>
      </w:r>
    </w:p>
    <w:p>
      <w:pPr>
        <w:widowControl/>
        <w:numPr>
          <w:ilvl w:val="-1"/>
          <w:numId w:val="0"/>
        </w:numPr>
        <w:spacing w:after="200" w:line="240" w:lineRule="auto"/>
        <w:ind w:left="0" w:firstLine="0"/>
        <w:contextualSpacing/>
        <w:jc w:val="left"/>
        <w:rPr>
          <w:rStyle w:val="7"/>
          <w:rFonts w:ascii="Times New Roman" w:hAnsi="Times New Roman" w:eastAsia="宋体" w:cs="Times New Roman"/>
          <w:sz w:val="24"/>
          <w:szCs w:val="24"/>
          <w:lang w:val="zh-TW"/>
        </w:rPr>
      </w:pPr>
      <w:r>
        <w:rPr>
          <w:rStyle w:val="7"/>
          <w:rFonts w:ascii="Times New Roman" w:hAnsi="Times New Roman" w:eastAsia="宋体" w:cs="Times New Roman"/>
          <w:sz w:val="24"/>
          <w:szCs w:val="24"/>
          <w:lang w:val="zh-TW" w:eastAsia="zh-TW"/>
        </w:rPr>
        <w:t>张红玲</w:t>
      </w:r>
      <w:r>
        <w:rPr>
          <w:rStyle w:val="7"/>
          <w:rFonts w:ascii="Times New Roman" w:hAnsi="Times New Roman" w:eastAsia="宋体" w:cs="Times New Roman"/>
          <w:sz w:val="24"/>
          <w:szCs w:val="24"/>
          <w:lang w:eastAsia="zh-TW"/>
        </w:rPr>
        <w:t>:</w:t>
      </w:r>
      <w:r>
        <w:rPr>
          <w:rStyle w:val="7"/>
          <w:rFonts w:ascii="Times New Roman" w:hAnsi="Times New Roman" w:eastAsia="宋体" w:cs="Times New Roman"/>
          <w:sz w:val="24"/>
          <w:szCs w:val="24"/>
          <w:lang w:val="zh-TW"/>
        </w:rPr>
        <w:t>《跨文化外语教学</w:t>
      </w:r>
      <w:r>
        <w:rPr>
          <w:rStyle w:val="7"/>
          <w:rFonts w:ascii="Times New Roman" w:hAnsi="Times New Roman" w:eastAsia="宋体" w:cs="Times New Roman"/>
          <w:sz w:val="24"/>
          <w:szCs w:val="24"/>
        </w:rPr>
        <w:t xml:space="preserve">》, </w:t>
      </w:r>
      <w:r>
        <w:rPr>
          <w:rStyle w:val="7"/>
          <w:rFonts w:ascii="Times New Roman" w:hAnsi="Times New Roman" w:eastAsia="宋体" w:cs="Times New Roman"/>
          <w:sz w:val="24"/>
          <w:szCs w:val="24"/>
          <w:lang w:val="zh-TW"/>
        </w:rPr>
        <w:t>上海外语教育出版社</w:t>
      </w:r>
      <w:r>
        <w:rPr>
          <w:rStyle w:val="7"/>
          <w:rFonts w:ascii="Times New Roman" w:hAnsi="Times New Roman" w:eastAsia="宋体" w:cs="Times New Roman"/>
          <w:sz w:val="24"/>
          <w:szCs w:val="24"/>
        </w:rPr>
        <w:t>，2007</w:t>
      </w:r>
      <w:r>
        <w:rPr>
          <w:rStyle w:val="7"/>
          <w:rFonts w:hint="eastAsia" w:ascii="Times New Roman" w:hAnsi="Times New Roman" w:eastAsia="宋体" w:cs="Times New Roman"/>
          <w:sz w:val="24"/>
          <w:szCs w:val="24"/>
          <w:lang w:eastAsia="zh-Hans"/>
        </w:rPr>
        <w:t>年</w:t>
      </w:r>
      <w:r>
        <w:rPr>
          <w:rStyle w:val="7"/>
          <w:rFonts w:ascii="Times New Roman" w:hAnsi="Times New Roman" w:eastAsia="宋体" w:cs="Times New Roman"/>
          <w:sz w:val="24"/>
          <w:szCs w:val="24"/>
          <w:lang w:eastAsia="zh-Hans"/>
        </w:rPr>
        <w:t>.</w:t>
      </w:r>
    </w:p>
    <w:p>
      <w:pPr>
        <w:widowControl/>
        <w:numPr>
          <w:ilvl w:val="-1"/>
          <w:numId w:val="0"/>
        </w:numPr>
        <w:spacing w:after="200" w:line="240" w:lineRule="auto"/>
        <w:ind w:left="0" w:firstLine="0"/>
        <w:contextualSpacing/>
        <w:jc w:val="left"/>
        <w:rPr>
          <w:sz w:val="24"/>
          <w:szCs w:val="24"/>
        </w:rPr>
      </w:pPr>
      <w:r>
        <w:rPr>
          <w:rStyle w:val="7"/>
          <w:rFonts w:ascii="Times New Roman" w:hAnsi="Times New Roman" w:eastAsia="宋体" w:cs="Times New Roman"/>
          <w:sz w:val="24"/>
          <w:szCs w:val="24"/>
        </w:rPr>
        <w:t xml:space="preserve">Zhu, Hua. </w:t>
      </w:r>
      <w:r>
        <w:rPr>
          <w:rStyle w:val="7"/>
          <w:rFonts w:ascii="Times New Roman" w:hAnsi="Times New Roman" w:eastAsia="宋体" w:cs="Times New Roman"/>
          <w:sz w:val="24"/>
          <w:szCs w:val="24"/>
          <w:lang w:eastAsia="zh-Hans"/>
        </w:rPr>
        <w:t xml:space="preserve">(Ed.) </w:t>
      </w:r>
      <w:r>
        <w:rPr>
          <w:rStyle w:val="7"/>
          <w:rFonts w:ascii="Times New Roman" w:hAnsi="Times New Roman" w:eastAsia="宋体" w:cs="Times New Roman"/>
          <w:sz w:val="24"/>
          <w:szCs w:val="24"/>
        </w:rPr>
        <w:t xml:space="preserve">(2016). </w:t>
      </w:r>
      <w:r>
        <w:rPr>
          <w:rStyle w:val="7"/>
          <w:rFonts w:ascii="Times New Roman Italic" w:hAnsi="Times New Roman Italic" w:eastAsia="宋体" w:cs="Times New Roman Italic"/>
          <w:i/>
          <w:iCs/>
          <w:sz w:val="24"/>
          <w:szCs w:val="24"/>
        </w:rPr>
        <w:t>R</w:t>
      </w:r>
      <w:r>
        <w:rPr>
          <w:rStyle w:val="7"/>
          <w:rFonts w:ascii="Times New Roman Italic" w:hAnsi="Times New Roman Italic" w:eastAsia="宋体" w:cs="Times New Roman Italic"/>
          <w:i/>
          <w:iCs/>
          <w:sz w:val="24"/>
          <w:szCs w:val="24"/>
          <w:lang w:eastAsia="zh-Hans"/>
        </w:rPr>
        <w:t>esearch Methods in Intercultural Communication: A practical guide</w:t>
      </w:r>
      <w:r>
        <w:rPr>
          <w:rStyle w:val="7"/>
          <w:rFonts w:ascii="Times New Roman" w:hAnsi="Times New Roman" w:eastAsia="宋体" w:cs="Times New Roman"/>
          <w:sz w:val="24"/>
          <w:szCs w:val="24"/>
          <w:lang w:eastAsia="zh-Hans"/>
        </w:rPr>
        <w:t>. Wiley Blackwell.</w:t>
      </w:r>
    </w:p>
    <w:p>
      <w:pPr>
        <w:spacing w:line="360" w:lineRule="auto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Italic">
    <w:altName w:val="Times New Roman"/>
    <w:panose1 w:val="0202050305040509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DdiZTFjNzk4NmJhMjBmZjIyM2RmZDMyMjRiYjkifQ=="/>
  </w:docVars>
  <w:rsids>
    <w:rsidRoot w:val="52462D98"/>
    <w:rsid w:val="04103D0F"/>
    <w:rsid w:val="1C0F147B"/>
    <w:rsid w:val="1F476DFA"/>
    <w:rsid w:val="38BF7403"/>
    <w:rsid w:val="52462D98"/>
    <w:rsid w:val="5D7D1923"/>
    <w:rsid w:val="67F9A143"/>
    <w:rsid w:val="6DDC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350"/>
    </w:pPr>
    <w:rPr>
      <w:rFonts w:ascii="Calibri" w:hAnsi="Calibri" w:eastAsia="宋体" w:cs="Arial"/>
      <w:szCs w:val="21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List Paragraph"/>
    <w:qFormat/>
    <w:uiPriority w:val="0"/>
    <w:pPr>
      <w:framePr w:wrap="around" w:vAnchor="margin" w:hAnchor="text" w:y="1"/>
      <w:widowControl w:val="0"/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7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1166</Words>
  <Characters>2417</Characters>
  <Lines>0</Lines>
  <Paragraphs>0</Paragraphs>
  <TotalTime>1</TotalTime>
  <ScaleCrop>false</ScaleCrop>
  <LinksUpToDate>false</LinksUpToDate>
  <CharactersWithSpaces>2634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2021-06-07T10:09:00Z</dcterms:created>
  <dc:creator>大宝</dc:creator>
  <cp:lastModifiedBy>大宝</cp:lastModifiedBy>
  <dcterms:modified xsi:type="dcterms:W3CDTF">2022-06-14T06:29:03Z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21B7F92615C0450882972E91E64B1C41</vt:lpwstr>
  </property>
</Properties>
</file>