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2213E" w14:textId="751ECBEA" w:rsidR="00D15171" w:rsidRPr="00A260F0" w:rsidRDefault="00BE0737" w:rsidP="00BE0737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A260F0">
        <w:rPr>
          <w:rFonts w:ascii="Times New Roman" w:eastAsia="方正小标宋简体" w:hAnsi="Times New Roman" w:cs="Times New Roman" w:hint="eastAsia"/>
          <w:sz w:val="32"/>
          <w:szCs w:val="32"/>
        </w:rPr>
        <w:t>关于组织参加</w:t>
      </w:r>
      <w:r w:rsidR="00D15171" w:rsidRPr="00A260F0">
        <w:rPr>
          <w:rFonts w:ascii="Times New Roman" w:eastAsia="方正小标宋简体" w:hAnsi="Times New Roman" w:cs="Times New Roman" w:hint="eastAsia"/>
          <w:sz w:val="32"/>
          <w:szCs w:val="32"/>
        </w:rPr>
        <w:t>上海市西南片</w:t>
      </w:r>
      <w:r w:rsidR="00850D73">
        <w:rPr>
          <w:rFonts w:ascii="Times New Roman" w:eastAsia="方正小标宋简体" w:hAnsi="Times New Roman" w:cs="Times New Roman" w:hint="eastAsia"/>
          <w:sz w:val="32"/>
          <w:szCs w:val="32"/>
        </w:rPr>
        <w:t>高校</w:t>
      </w:r>
      <w:r w:rsidR="00D15171" w:rsidRPr="00A260F0">
        <w:rPr>
          <w:rFonts w:ascii="Times New Roman" w:eastAsia="方正小标宋简体" w:hAnsi="Times New Roman" w:cs="Times New Roman" w:hint="eastAsia"/>
          <w:sz w:val="32"/>
          <w:szCs w:val="32"/>
        </w:rPr>
        <w:t>研究生科普大赛</w:t>
      </w:r>
      <w:r w:rsidRPr="00A260F0">
        <w:rPr>
          <w:rFonts w:ascii="Times New Roman" w:eastAsia="方正小标宋简体" w:hAnsi="Times New Roman" w:cs="Times New Roman" w:hint="eastAsia"/>
          <w:sz w:val="32"/>
          <w:szCs w:val="32"/>
        </w:rPr>
        <w:t>的</w:t>
      </w:r>
      <w:r w:rsidR="00D15171" w:rsidRPr="00A260F0">
        <w:rPr>
          <w:rFonts w:ascii="Times New Roman" w:eastAsia="方正小标宋简体" w:hAnsi="Times New Roman" w:cs="Times New Roman" w:hint="eastAsia"/>
          <w:sz w:val="32"/>
          <w:szCs w:val="32"/>
        </w:rPr>
        <w:t>通知</w:t>
      </w:r>
    </w:p>
    <w:p w14:paraId="51791050" w14:textId="6996668C" w:rsidR="00D15171" w:rsidRPr="00A260F0" w:rsidRDefault="00A260F0" w:rsidP="00A260F0">
      <w:pPr>
        <w:pStyle w:val="a9"/>
        <w:shd w:val="clear" w:color="auto" w:fill="FFFFFF"/>
        <w:spacing w:before="225" w:beforeAutospacing="0" w:after="0" w:afterAutospacing="0" w:line="360" w:lineRule="auto"/>
        <w:jc w:val="center"/>
        <w:rPr>
          <w:rFonts w:ascii="仿宋" w:eastAsia="仿宋" w:hAnsi="仿宋"/>
          <w:color w:val="333333"/>
          <w:sz w:val="22"/>
        </w:rPr>
      </w:pPr>
      <w:r w:rsidRPr="00A260F0">
        <w:rPr>
          <w:rFonts w:ascii="仿宋" w:eastAsia="仿宋" w:hAnsi="仿宋" w:cstheme="minorBidi" w:hint="eastAsia"/>
          <w:kern w:val="2"/>
          <w:sz w:val="28"/>
          <w:szCs w:val="32"/>
        </w:rPr>
        <w:t>研通〔</w:t>
      </w:r>
      <w:r w:rsidRPr="00A260F0">
        <w:rPr>
          <w:rFonts w:ascii="仿宋" w:eastAsia="仿宋" w:hAnsi="仿宋" w:cstheme="minorBidi"/>
          <w:kern w:val="2"/>
          <w:sz w:val="28"/>
          <w:szCs w:val="32"/>
        </w:rPr>
        <w:t>2025〕25号</w:t>
      </w:r>
    </w:p>
    <w:p w14:paraId="1E5A9896" w14:textId="79FE6F31" w:rsidR="00D15171" w:rsidRPr="00A260F0" w:rsidRDefault="00BE0737" w:rsidP="00BE0737">
      <w:pPr>
        <w:pStyle w:val="a9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各研究生培养单位</w:t>
      </w:r>
      <w:r w:rsidR="00D15171"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：</w:t>
      </w:r>
    </w:p>
    <w:p w14:paraId="211AB169" w14:textId="5316D6CE" w:rsidR="00D15171" w:rsidRPr="00A260F0" w:rsidRDefault="00D15171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科学技术普及（以下简称科普）是国家和社会普及科学技术知识、弘扬科学精神、传播科学思想、倡导科学方法的活动，是实现创新发展的重要基础性工作。</w:t>
      </w:r>
      <w:r w:rsidR="0074725A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上海市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西南片高校研究生教育以“立德树人、服务需求、提高质量、追求卓越”为工作主线，培养创新人才方阵，取得了较大成就。</w:t>
      </w:r>
    </w:p>
    <w:p w14:paraId="0E4C5FDC" w14:textId="5BBD1E51" w:rsidR="0074725A" w:rsidRPr="00A260F0" w:rsidRDefault="00D15171" w:rsidP="0074725A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hint="eastAsia"/>
          <w:color w:val="333333"/>
          <w:sz w:val="28"/>
          <w:szCs w:val="28"/>
        </w:rPr>
        <w:t>为落实中共中央办公厅、国务院办公厅《关于新时代进一步加强科学技术普及工作的意见》，</w:t>
      </w:r>
      <w:r w:rsidR="00A029AC" w:rsidRPr="00A260F0">
        <w:rPr>
          <w:rFonts w:ascii="仿宋_GB2312" w:eastAsia="仿宋_GB2312" w:hAnsi="仿宋" w:hint="eastAsia"/>
          <w:color w:val="333333"/>
          <w:sz w:val="28"/>
          <w:szCs w:val="28"/>
        </w:rPr>
        <w:t>加强科普能力建设，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强化科普工作责任意识，发挥各成员高校科教资源丰富、科研设施完善的优势，加大科普资源供给</w:t>
      </w:r>
      <w:r w:rsidR="00A12336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，</w:t>
      </w:r>
      <w:r w:rsidR="0074725A"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上海市西南片联合办学办公室</w:t>
      </w:r>
      <w:r w:rsidR="00A12336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决定</w:t>
      </w:r>
      <w:r w:rsidR="00502D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于2025年</w:t>
      </w:r>
      <w:r w:rsidR="002A40F4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继续</w:t>
      </w:r>
      <w:r w:rsidR="00A12336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举办研究生科普大赛。</w:t>
      </w:r>
      <w:r w:rsidR="000827D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我校作为成员高校</w:t>
      </w:r>
      <w:r w:rsidR="0074725A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，现就组织参加本次大赛工作</w:t>
      </w:r>
      <w:r w:rsidR="00502D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有关事项</w:t>
      </w:r>
      <w:r w:rsidR="0074725A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通知如下：</w:t>
      </w:r>
    </w:p>
    <w:p w14:paraId="1E26E3B0" w14:textId="43225FCF" w:rsidR="00D15171" w:rsidRPr="00E16549" w:rsidRDefault="00536F33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</w:pPr>
      <w:r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一、</w:t>
      </w:r>
      <w:r w:rsidR="0074725A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参加</w:t>
      </w:r>
      <w:r w:rsidR="00D15171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对象</w:t>
      </w:r>
    </w:p>
    <w:p w14:paraId="54F99C3F" w14:textId="489A11B2" w:rsidR="00D15171" w:rsidRPr="00A260F0" w:rsidRDefault="00EF5D59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在读</w:t>
      </w:r>
      <w:r w:rsidR="00776980"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研究生（硕士、博士生）</w:t>
      </w:r>
      <w:r w:rsidR="004A7EBD"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及团队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，鼓励跨学科、跨学校联合组队。</w:t>
      </w:r>
    </w:p>
    <w:p w14:paraId="06EBF767" w14:textId="727036BE" w:rsidR="00D15171" w:rsidRPr="00E16549" w:rsidRDefault="00536F33" w:rsidP="00E16549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</w:pPr>
      <w:r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二、</w:t>
      </w:r>
      <w:r w:rsidR="00D15171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作品</w:t>
      </w:r>
      <w:r w:rsidR="00776980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形式</w:t>
      </w:r>
    </w:p>
    <w:p w14:paraId="257EEE15" w14:textId="51C6A62F" w:rsidR="00D15171" w:rsidRPr="00A260F0" w:rsidRDefault="00776980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1.</w:t>
      </w:r>
      <w:r w:rsidR="00D15171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微视频。</w:t>
      </w:r>
      <w:r w:rsidR="00D151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微视频要求作品画面质量优，构图合理，字幕及配乐得当，可供后续传播使用，为MOV、MP4等格式1080P高清影像。微视频不超过5分钟。</w:t>
      </w:r>
    </w:p>
    <w:p w14:paraId="11804FEF" w14:textId="1117B55E" w:rsidR="00D15171" w:rsidRPr="00A260F0" w:rsidRDefault="00776980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lastRenderedPageBreak/>
        <w:t>2.</w:t>
      </w:r>
      <w:r w:rsidR="00D15171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科普文章</w:t>
      </w:r>
      <w:r w:rsidR="00F95EF1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。</w:t>
      </w:r>
      <w:r w:rsidR="00D151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一般不超过2000字，如有引用的图片或数据，须标明出处。要求语言规范，内容明确，确保报送作品的科学性，原创性。</w:t>
      </w:r>
    </w:p>
    <w:p w14:paraId="64A5F646" w14:textId="78F46220" w:rsidR="00776980" w:rsidRPr="00A260F0" w:rsidRDefault="00776980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3.其他形式的作品。</w:t>
      </w:r>
    </w:p>
    <w:p w14:paraId="52656514" w14:textId="5E62F5F2" w:rsidR="00776980" w:rsidRPr="00E16549" w:rsidRDefault="00536F33" w:rsidP="00E16549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</w:pPr>
      <w:r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三、</w:t>
      </w:r>
      <w:r w:rsidR="00776980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作品要求</w:t>
      </w:r>
    </w:p>
    <w:p w14:paraId="22A1FBC9" w14:textId="3D3B7BA9" w:rsidR="004A7EBD" w:rsidRPr="00A260F0" w:rsidRDefault="00776980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1.参赛作品必须符合本次比赛主题</w:t>
      </w:r>
      <w:r w:rsidR="00EF5D59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。</w:t>
      </w:r>
      <w:r w:rsidR="00EF5D5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作品</w:t>
      </w:r>
      <w:r w:rsidR="004A7EBD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是研究生基于所在学科专业或交叉学科知识而创作的作品，有利于普及科学技术知识、弘扬科学精神、传播科学思想、倡导科学方法。</w:t>
      </w:r>
    </w:p>
    <w:p w14:paraId="11E0FADB" w14:textId="530C8D48" w:rsidR="00776980" w:rsidRPr="00A260F0" w:rsidRDefault="004A7EBD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2</w:t>
      </w:r>
      <w:r w:rsidR="00776980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.参赛作品必须符合国家法律要求</w:t>
      </w:r>
      <w:r w:rsidR="00EF5D59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。</w:t>
      </w:r>
      <w:r w:rsidR="00EF5D5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作品</w:t>
      </w:r>
      <w:r w:rsidR="00776980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为参赛者原创作品，参赛者拥有该作品的完整知识产权。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不得侵犯他人著作权、肖像权、名誉权等法律纠纷。</w:t>
      </w:r>
      <w:r w:rsidR="00776980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若因此引起法律纠纷，由参赛者承担相关法律责任。</w:t>
      </w:r>
    </w:p>
    <w:p w14:paraId="63B70F82" w14:textId="04F44613" w:rsidR="00776980" w:rsidRPr="00A260F0" w:rsidRDefault="00776980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3.主办方对本次大赛所有参赛作品拥有使用权</w:t>
      </w:r>
      <w:r w:rsidR="006A7ED3" w:rsidRPr="00A260F0">
        <w:rPr>
          <w:rFonts w:ascii="仿宋_GB2312" w:eastAsia="仿宋_GB2312" w:hAnsi="仿宋" w:cs="仿宋_GB2312" w:hint="eastAsia"/>
          <w:b/>
          <w:bCs/>
          <w:kern w:val="2"/>
          <w:sz w:val="28"/>
          <w:szCs w:val="28"/>
          <w:lang w:bidi="ar"/>
        </w:rPr>
        <w:t>。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主要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用于展览、复制、媒介发表及其他公益宣传，不支付稿酬。</w:t>
      </w:r>
    </w:p>
    <w:p w14:paraId="02872F10" w14:textId="748E2862" w:rsidR="00D15171" w:rsidRPr="00E16549" w:rsidRDefault="00536F33" w:rsidP="00E16549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</w:pPr>
      <w:r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四、</w:t>
      </w:r>
      <w:r w:rsidR="00D15171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日程安排</w:t>
      </w:r>
    </w:p>
    <w:p w14:paraId="2D71867A" w14:textId="726024C0" w:rsidR="0074725A" w:rsidRPr="00A260F0" w:rsidRDefault="002A40F4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（一）</w:t>
      </w:r>
      <w:r w:rsidR="00536F33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校内遴选推荐。</w:t>
      </w:r>
    </w:p>
    <w:p w14:paraId="78D4328D" w14:textId="7399F734" w:rsidR="002E298A" w:rsidRPr="00A260F0" w:rsidRDefault="0074725A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bCs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bCs/>
          <w:kern w:val="2"/>
          <w:sz w:val="28"/>
          <w:szCs w:val="28"/>
          <w:lang w:bidi="ar"/>
        </w:rPr>
        <w:t>（1）</w:t>
      </w:r>
      <w:r w:rsidR="002E298A" w:rsidRPr="00A260F0">
        <w:rPr>
          <w:rFonts w:ascii="仿宋_GB2312" w:eastAsia="仿宋_GB2312" w:hAnsi="仿宋" w:hint="eastAsia"/>
          <w:color w:val="000000" w:themeColor="text1"/>
          <w:sz w:val="28"/>
          <w:szCs w:val="28"/>
        </w:rPr>
        <w:t>请各</w:t>
      </w:r>
      <w:r w:rsidR="003B7E71" w:rsidRPr="00A260F0">
        <w:rPr>
          <w:rFonts w:ascii="仿宋_GB2312" w:eastAsia="仿宋_GB2312" w:hAnsi="仿宋" w:hint="eastAsia"/>
          <w:color w:val="000000" w:themeColor="text1"/>
          <w:sz w:val="28"/>
          <w:szCs w:val="28"/>
        </w:rPr>
        <w:t>院系</w:t>
      </w:r>
      <w:r w:rsidR="002E298A" w:rsidRPr="00A260F0">
        <w:rPr>
          <w:rFonts w:ascii="仿宋_GB2312" w:eastAsia="仿宋_GB2312" w:hAnsi="仿宋" w:hint="eastAsia"/>
          <w:color w:val="000000" w:themeColor="text1"/>
          <w:sz w:val="28"/>
          <w:szCs w:val="28"/>
        </w:rPr>
        <w:t>指定专人负责此次大赛的材料收集与报送工作，并组织本院系研究生进行申报。</w:t>
      </w:r>
    </w:p>
    <w:p w14:paraId="208E46BB" w14:textId="7A8A8B5C" w:rsidR="002E298A" w:rsidRPr="00A260F0" w:rsidRDefault="002E298A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（2）</w:t>
      </w:r>
      <w:r w:rsidR="00D17F46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有意向参与本次大赛的研究生须将参赛作品连同《上海市西南片研究生科普大赛推荐作品信息表》一并报送至所属院系联系人处。其中，《作品信息表》中的“研究生主管部门推荐意见”一栏无须填写。</w:t>
      </w:r>
    </w:p>
    <w:p w14:paraId="063EA444" w14:textId="1BDFE156" w:rsidR="00D17F46" w:rsidRPr="00A260F0" w:rsidRDefault="00D17F46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lastRenderedPageBreak/>
        <w:t>（3）</w:t>
      </w:r>
      <w:r w:rsidR="008D676D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请各院系对参赛作品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进行</w:t>
      </w:r>
      <w:r w:rsidR="008D676D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严格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审核</w:t>
      </w:r>
      <w:r w:rsidR="008D676D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把关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后，</w:t>
      </w:r>
      <w:r w:rsidR="000827D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将</w:t>
      </w:r>
      <w:r w:rsidR="008D676D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参赛作品（电子版）和《作品信息表》电子版（WORD版及签字、盖章的PDF版</w:t>
      </w:r>
      <w:r w:rsidR="000827D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）</w:t>
      </w:r>
      <w:r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于10月2</w:t>
      </w:r>
      <w:r w:rsidR="0027561F"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7日（周一</w:t>
      </w:r>
      <w:r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）</w:t>
      </w:r>
      <w:r w:rsidR="0027561F"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下午</w:t>
      </w:r>
      <w:r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1</w:t>
      </w:r>
      <w:r w:rsidR="0027561F"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6</w:t>
      </w:r>
      <w:r w:rsidRPr="00A260F0">
        <w:rPr>
          <w:rFonts w:ascii="仿宋_GB2312" w:eastAsia="仿宋_GB2312" w:hAnsi="仿宋" w:cs="仿宋_GB2312" w:hint="eastAsia"/>
          <w:b/>
          <w:kern w:val="2"/>
          <w:sz w:val="28"/>
          <w:szCs w:val="28"/>
          <w:lang w:bidi="ar"/>
        </w:rPr>
        <w:t>:00前通过OA系统报送至研究生院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。</w:t>
      </w:r>
    </w:p>
    <w:p w14:paraId="0704515D" w14:textId="09ECF4BE" w:rsidR="00D15171" w:rsidRPr="00A260F0" w:rsidRDefault="00D17F46" w:rsidP="003B7E7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（4</w:t>
      </w:r>
      <w:r w:rsidR="002A40F4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）学校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将根据</w:t>
      </w:r>
      <w:r w:rsidR="002A40F4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各院系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申报情况</w:t>
      </w:r>
      <w:r w:rsidR="002A40F4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及本次大赛“限额推荐要求”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进行校内遴选，并将推荐作品报送</w:t>
      </w:r>
      <w:r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上海市西南片联合办学办公室</w:t>
      </w:r>
      <w:r w:rsidR="003B7E71"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。</w:t>
      </w:r>
    </w:p>
    <w:p w14:paraId="22759C9B" w14:textId="4FF15FDE" w:rsidR="006A7ED3" w:rsidRPr="00A260F0" w:rsidRDefault="002A40F4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（二）</w:t>
      </w:r>
      <w:r w:rsidR="003B7E71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上海市西南片联合办学办公室</w:t>
      </w:r>
      <w:r w:rsidR="00D15171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专家</w:t>
      </w:r>
      <w:r w:rsidR="003B7E71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初评</w:t>
      </w:r>
      <w:r w:rsidR="00D15171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。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上海市西南片联合办学办公室</w:t>
      </w:r>
      <w:r w:rsidR="003B7E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将组织专家对</w:t>
      </w:r>
      <w:r w:rsidR="00CC0EAE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各高校报送的</w:t>
      </w:r>
      <w:r w:rsidR="003B7E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参赛作品进行初评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。</w:t>
      </w:r>
    </w:p>
    <w:p w14:paraId="4BB218CD" w14:textId="4CC3A3D9" w:rsidR="00D15171" w:rsidRPr="00A260F0" w:rsidRDefault="002A40F4" w:rsidP="00BE073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（三）</w:t>
      </w:r>
      <w:r w:rsidR="006A7ED3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现场展示与点评（</w:t>
      </w:r>
      <w:r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2025</w:t>
      </w:r>
      <w:r w:rsidR="006A7ED3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年11月</w:t>
      </w:r>
      <w:r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22</w:t>
      </w:r>
      <w:r w:rsidR="006A7ED3" w:rsidRPr="00A260F0">
        <w:rPr>
          <w:rFonts w:ascii="仿宋_GB2312" w:eastAsia="仿宋_GB2312" w:hAnsi="楷体" w:cs="仿宋_GB2312" w:hint="eastAsia"/>
          <w:b/>
          <w:bCs/>
          <w:kern w:val="2"/>
          <w:sz w:val="28"/>
          <w:szCs w:val="28"/>
          <w:lang w:bidi="ar"/>
        </w:rPr>
        <w:t>日）。</w:t>
      </w:r>
      <w:r w:rsidR="008162D8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经</w:t>
      </w:r>
      <w:r w:rsidR="003B7E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上海市西南片联合办学办公室</w:t>
      </w:r>
      <w:r w:rsidR="008162D8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初评</w:t>
      </w:r>
      <w:r w:rsidR="003B7E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并</w:t>
      </w:r>
      <w:r w:rsidR="008162D8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入选决赛的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作者和团队现场进行</w:t>
      </w:r>
      <w:r w:rsidR="0078474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PPT演讲和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展示</w:t>
      </w:r>
      <w:r w:rsidR="0078474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，时间不超过</w:t>
      </w: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8</w:t>
      </w:r>
      <w:r w:rsidR="00784749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分钟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。联合办学办公室</w:t>
      </w:r>
      <w:r w:rsidR="003B7E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届时将组织专家</w:t>
      </w:r>
      <w:r w:rsidR="006A7ED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进行现场点评，并评选出</w:t>
      </w:r>
      <w:r w:rsidR="00D15171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各类优秀作品名单。</w:t>
      </w:r>
    </w:p>
    <w:p w14:paraId="39F80E55" w14:textId="0B1BCBD1" w:rsidR="00E73605" w:rsidRPr="00E16549" w:rsidRDefault="006A7ED3" w:rsidP="00E16549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</w:pPr>
      <w:r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五</w:t>
      </w:r>
      <w:r w:rsidR="00536F33"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、奖项设置</w:t>
      </w:r>
    </w:p>
    <w:p w14:paraId="76BE7276" w14:textId="4FF74148" w:rsidR="00D15171" w:rsidRPr="00A260F0" w:rsidRDefault="003B7E71" w:rsidP="003B7E7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上海市西南片联合办学办公室将</w:t>
      </w:r>
      <w:r w:rsidR="008162D8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根据参赛作品情况，</w:t>
      </w:r>
      <w:r w:rsidR="00536F3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设置</w:t>
      </w:r>
      <w:r w:rsidR="002A40F4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奖项若干</w:t>
      </w:r>
      <w:r w:rsidR="008162D8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，</w:t>
      </w:r>
      <w:r w:rsidR="00536F33" w:rsidRPr="00A260F0">
        <w:rPr>
          <w:rFonts w:ascii="仿宋_GB2312" w:eastAsia="仿宋_GB2312" w:hAnsi="仿宋" w:cs="仿宋_GB2312" w:hint="eastAsia"/>
          <w:kern w:val="2"/>
          <w:sz w:val="28"/>
          <w:szCs w:val="28"/>
          <w:lang w:bidi="ar"/>
        </w:rPr>
        <w:t>颁发荣誉证书及奖励。</w:t>
      </w:r>
    </w:p>
    <w:p w14:paraId="03EF61FB" w14:textId="3840EF9B" w:rsidR="003B7E71" w:rsidRPr="00E16549" w:rsidRDefault="003B7E71" w:rsidP="00E16549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</w:pPr>
      <w:bookmarkStart w:id="0" w:name="_GoBack"/>
      <w:r w:rsidRPr="00E16549">
        <w:rPr>
          <w:rFonts w:ascii="仿宋_GB2312" w:eastAsia="仿宋_GB2312" w:hAnsi="黑体" w:cs="仿宋_GB2312" w:hint="eastAsia"/>
          <w:b/>
          <w:kern w:val="2"/>
          <w:sz w:val="28"/>
          <w:szCs w:val="28"/>
          <w:lang w:bidi="ar"/>
        </w:rPr>
        <w:t>六、联系方式</w:t>
      </w:r>
    </w:p>
    <w:bookmarkEnd w:id="0"/>
    <w:p w14:paraId="0638956D" w14:textId="386FB2AA" w:rsidR="00E73605" w:rsidRPr="00A260F0" w:rsidRDefault="00942308" w:rsidP="00BE0737">
      <w:pPr>
        <w:widowControl/>
        <w:spacing w:line="360" w:lineRule="auto"/>
        <w:ind w:firstLineChars="200" w:firstLine="560"/>
        <w:rPr>
          <w:rFonts w:ascii="仿宋_GB2312" w:eastAsia="仿宋_GB2312" w:hAnsi="仿宋" w:cs="仿宋_GB2312" w:hint="eastAsia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各院系如有任何疑问，请及时与学校研究生院</w:t>
      </w:r>
      <w:r w:rsidR="003B7E71"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联系。</w:t>
      </w:r>
    </w:p>
    <w:p w14:paraId="7962EC78" w14:textId="33F9F764" w:rsidR="003B7E71" w:rsidRPr="00A260F0" w:rsidRDefault="003B7E71" w:rsidP="00BE0737">
      <w:pPr>
        <w:widowControl/>
        <w:spacing w:line="360" w:lineRule="auto"/>
        <w:ind w:firstLineChars="200" w:firstLine="560"/>
        <w:rPr>
          <w:rFonts w:ascii="仿宋_GB2312" w:eastAsia="仿宋_GB2312" w:hAnsi="仿宋" w:cs="仿宋_GB2312" w:hint="eastAsia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联系人：米健</w:t>
      </w:r>
    </w:p>
    <w:p w14:paraId="17948CE6" w14:textId="71559523" w:rsidR="003B7E71" w:rsidRPr="00A260F0" w:rsidRDefault="003B7E71" w:rsidP="00BE0737">
      <w:pPr>
        <w:widowControl/>
        <w:spacing w:line="360" w:lineRule="auto"/>
        <w:ind w:firstLineChars="200" w:firstLine="560"/>
        <w:rPr>
          <w:rFonts w:ascii="仿宋_GB2312" w:eastAsia="仿宋_GB2312" w:hAnsi="仿宋" w:cs="仿宋_GB2312" w:hint="eastAsia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联系电话：67702038/35372813</w:t>
      </w:r>
    </w:p>
    <w:p w14:paraId="177D4365" w14:textId="7F8253C1" w:rsidR="003A79C6" w:rsidRPr="00A260F0" w:rsidRDefault="003A79C6" w:rsidP="003A79C6">
      <w:pPr>
        <w:spacing w:line="360" w:lineRule="auto"/>
        <w:ind w:right="1360"/>
        <w:rPr>
          <w:rFonts w:ascii="仿宋_GB2312" w:eastAsia="仿宋_GB2312" w:hAnsi="仿宋" w:cs="仿宋_GB2312" w:hint="eastAsia"/>
          <w:sz w:val="28"/>
          <w:szCs w:val="28"/>
          <w:lang w:bidi="ar"/>
        </w:rPr>
      </w:pPr>
    </w:p>
    <w:p w14:paraId="45D40F6B" w14:textId="21576703" w:rsidR="003A79C6" w:rsidRPr="00A260F0" w:rsidRDefault="003A79C6" w:rsidP="00A260F0">
      <w:pPr>
        <w:spacing w:line="360" w:lineRule="auto"/>
        <w:ind w:right="84" w:firstLineChars="200" w:firstLine="560"/>
        <w:rPr>
          <w:rFonts w:ascii="仿宋_GB2312" w:eastAsia="仿宋_GB2312" w:hAnsi="仿宋" w:cs="仿宋_GB2312" w:hint="eastAsia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t>附件：上海市西南片研究生科普大赛推荐作品信息表</w:t>
      </w:r>
    </w:p>
    <w:p w14:paraId="31179670" w14:textId="77777777" w:rsidR="003A79C6" w:rsidRPr="00A260F0" w:rsidRDefault="003A79C6" w:rsidP="003A79C6">
      <w:pPr>
        <w:spacing w:line="360" w:lineRule="auto"/>
        <w:ind w:right="1360" w:firstLineChars="200" w:firstLine="560"/>
        <w:rPr>
          <w:rFonts w:ascii="仿宋_GB2312" w:eastAsia="仿宋_GB2312" w:hAnsi="仿宋" w:cs="仿宋_GB2312" w:hint="eastAsia"/>
          <w:sz w:val="28"/>
          <w:szCs w:val="28"/>
          <w:lang w:bidi="ar"/>
        </w:rPr>
      </w:pPr>
    </w:p>
    <w:p w14:paraId="3BFE82B8" w14:textId="30260697" w:rsidR="003B7E71" w:rsidRPr="00A260F0" w:rsidRDefault="003B7E71" w:rsidP="00942308">
      <w:pPr>
        <w:spacing w:line="360" w:lineRule="auto"/>
        <w:ind w:right="400"/>
        <w:jc w:val="right"/>
        <w:rPr>
          <w:rFonts w:ascii="仿宋_GB2312" w:eastAsia="仿宋_GB2312" w:hAnsi="仿宋" w:cs="仿宋_GB2312" w:hint="eastAsia"/>
          <w:sz w:val="28"/>
          <w:szCs w:val="28"/>
          <w:lang w:bidi="ar"/>
        </w:rPr>
      </w:pPr>
      <w:r w:rsidRPr="00A260F0">
        <w:rPr>
          <w:rFonts w:ascii="仿宋_GB2312" w:eastAsia="仿宋_GB2312" w:hAnsi="仿宋" w:cs="仿宋_GB2312" w:hint="eastAsia"/>
          <w:sz w:val="28"/>
          <w:szCs w:val="28"/>
          <w:lang w:bidi="ar"/>
        </w:rPr>
        <w:lastRenderedPageBreak/>
        <w:t>研究生院</w:t>
      </w:r>
    </w:p>
    <w:p w14:paraId="42D4650B" w14:textId="5A75A258" w:rsidR="00753F0B" w:rsidRPr="00A260F0" w:rsidRDefault="002A40F4" w:rsidP="003B7E71">
      <w:pPr>
        <w:spacing w:line="360" w:lineRule="auto"/>
        <w:jc w:val="right"/>
        <w:rPr>
          <w:rFonts w:ascii="仿宋_GB2312" w:eastAsia="仿宋_GB2312" w:hAnsi="仿宋" w:hint="eastAsia"/>
          <w:sz w:val="28"/>
          <w:szCs w:val="28"/>
        </w:rPr>
      </w:pPr>
      <w:r w:rsidRPr="00A260F0">
        <w:rPr>
          <w:rFonts w:ascii="仿宋_GB2312" w:eastAsia="仿宋_GB2312" w:hAnsi="仿宋" w:hint="eastAsia"/>
          <w:sz w:val="28"/>
          <w:szCs w:val="28"/>
        </w:rPr>
        <w:t>2025</w:t>
      </w:r>
      <w:r w:rsidR="003B7E71" w:rsidRPr="00A260F0">
        <w:rPr>
          <w:rFonts w:ascii="仿宋_GB2312" w:eastAsia="仿宋_GB2312" w:hAnsi="仿宋" w:hint="eastAsia"/>
          <w:sz w:val="28"/>
          <w:szCs w:val="28"/>
        </w:rPr>
        <w:t>年10月</w:t>
      </w:r>
      <w:r w:rsidR="0027561F" w:rsidRPr="00A260F0">
        <w:rPr>
          <w:rFonts w:ascii="仿宋_GB2312" w:eastAsia="仿宋_GB2312" w:hAnsi="仿宋" w:hint="eastAsia"/>
          <w:sz w:val="28"/>
          <w:szCs w:val="28"/>
        </w:rPr>
        <w:t>20</w:t>
      </w:r>
      <w:r w:rsidR="003B7E71" w:rsidRPr="00A260F0">
        <w:rPr>
          <w:rFonts w:ascii="仿宋_GB2312" w:eastAsia="仿宋_GB2312" w:hAnsi="仿宋" w:hint="eastAsia"/>
          <w:sz w:val="28"/>
          <w:szCs w:val="28"/>
        </w:rPr>
        <w:t>日</w:t>
      </w:r>
    </w:p>
    <w:sectPr w:rsidR="00753F0B" w:rsidRPr="00A2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94A08" w14:textId="77777777" w:rsidR="00E52FB6" w:rsidRDefault="00E52FB6" w:rsidP="00D15171">
      <w:r>
        <w:separator/>
      </w:r>
    </w:p>
  </w:endnote>
  <w:endnote w:type="continuationSeparator" w:id="0">
    <w:p w14:paraId="02329338" w14:textId="77777777" w:rsidR="00E52FB6" w:rsidRDefault="00E52FB6" w:rsidP="00D1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9E39" w14:textId="77777777" w:rsidR="00E52FB6" w:rsidRDefault="00E52FB6" w:rsidP="00D15171">
      <w:r>
        <w:separator/>
      </w:r>
    </w:p>
  </w:footnote>
  <w:footnote w:type="continuationSeparator" w:id="0">
    <w:p w14:paraId="38BE857F" w14:textId="77777777" w:rsidR="00E52FB6" w:rsidRDefault="00E52FB6" w:rsidP="00D1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B4BBEB"/>
    <w:multiLevelType w:val="singleLevel"/>
    <w:tmpl w:val="D0B4BB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A"/>
    <w:rsid w:val="00066CD6"/>
    <w:rsid w:val="000827D9"/>
    <w:rsid w:val="000C3123"/>
    <w:rsid w:val="001A2832"/>
    <w:rsid w:val="002125A9"/>
    <w:rsid w:val="00251098"/>
    <w:rsid w:val="0027561F"/>
    <w:rsid w:val="002818BD"/>
    <w:rsid w:val="002A40F4"/>
    <w:rsid w:val="002E298A"/>
    <w:rsid w:val="002E3736"/>
    <w:rsid w:val="00343AAA"/>
    <w:rsid w:val="00383109"/>
    <w:rsid w:val="00386921"/>
    <w:rsid w:val="003A79C6"/>
    <w:rsid w:val="003B7567"/>
    <w:rsid w:val="003B7E71"/>
    <w:rsid w:val="003C5B59"/>
    <w:rsid w:val="00437A01"/>
    <w:rsid w:val="004A7EBD"/>
    <w:rsid w:val="00502D71"/>
    <w:rsid w:val="00536F33"/>
    <w:rsid w:val="005452CF"/>
    <w:rsid w:val="006A7ED3"/>
    <w:rsid w:val="0074725A"/>
    <w:rsid w:val="00753F0B"/>
    <w:rsid w:val="00776980"/>
    <w:rsid w:val="00784749"/>
    <w:rsid w:val="007A358C"/>
    <w:rsid w:val="008162D8"/>
    <w:rsid w:val="00850D73"/>
    <w:rsid w:val="008525BE"/>
    <w:rsid w:val="0086663B"/>
    <w:rsid w:val="008927E8"/>
    <w:rsid w:val="008A36B3"/>
    <w:rsid w:val="008D676D"/>
    <w:rsid w:val="00942308"/>
    <w:rsid w:val="00A029AC"/>
    <w:rsid w:val="00A12336"/>
    <w:rsid w:val="00A260F0"/>
    <w:rsid w:val="00A53463"/>
    <w:rsid w:val="00A86DBC"/>
    <w:rsid w:val="00AF6559"/>
    <w:rsid w:val="00AF7A74"/>
    <w:rsid w:val="00BE0737"/>
    <w:rsid w:val="00CA5855"/>
    <w:rsid w:val="00CB0329"/>
    <w:rsid w:val="00CC0EAE"/>
    <w:rsid w:val="00D15171"/>
    <w:rsid w:val="00D17F46"/>
    <w:rsid w:val="00DA53E8"/>
    <w:rsid w:val="00E16549"/>
    <w:rsid w:val="00E52FB6"/>
    <w:rsid w:val="00E6129B"/>
    <w:rsid w:val="00E73605"/>
    <w:rsid w:val="00EB03BA"/>
    <w:rsid w:val="00EF5D59"/>
    <w:rsid w:val="00F679FC"/>
    <w:rsid w:val="00F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69CEF"/>
  <w15:chartTrackingRefBased/>
  <w15:docId w15:val="{378BC4D7-6A85-4AB3-85BD-07E3EFB5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171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D15171"/>
    <w:rPr>
      <w:color w:val="0563C1" w:themeColor="hyperlink"/>
      <w:u w:val="single"/>
    </w:rPr>
  </w:style>
  <w:style w:type="paragraph" w:styleId="a8">
    <w:name w:val="No Spacing"/>
    <w:uiPriority w:val="1"/>
    <w:qFormat/>
    <w:rsid w:val="00D15171"/>
    <w:pPr>
      <w:widowControl w:val="0"/>
      <w:jc w:val="both"/>
    </w:pPr>
  </w:style>
  <w:style w:type="paragraph" w:styleId="a9">
    <w:name w:val="Normal (Web)"/>
    <w:basedOn w:val="a"/>
    <w:uiPriority w:val="99"/>
    <w:unhideWhenUsed/>
    <w:rsid w:val="00D151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A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XKB</dc:creator>
  <cp:keywords/>
  <dc:description/>
  <cp:lastModifiedBy>Dong jolly</cp:lastModifiedBy>
  <cp:revision>31</cp:revision>
  <dcterms:created xsi:type="dcterms:W3CDTF">2024-10-15T10:30:00Z</dcterms:created>
  <dcterms:modified xsi:type="dcterms:W3CDTF">2025-10-17T09:29:00Z</dcterms:modified>
</cp:coreProperties>
</file>